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643"/>
        <w:gridCol w:w="2349"/>
        <w:gridCol w:w="1772"/>
        <w:gridCol w:w="1076"/>
        <w:gridCol w:w="1404"/>
        <w:gridCol w:w="1129"/>
        <w:gridCol w:w="630"/>
        <w:gridCol w:w="315"/>
        <w:gridCol w:w="315"/>
        <w:gridCol w:w="1063"/>
      </w:tblGrid>
      <w:tr>
        <w:trPr>
          <w:trHeight w:val="60" w:hRule="atLeast"/>
        </w:trPr>
        <w:tc>
          <w:tcPr>
            <w:tcW w:w="10696" w:type="dxa"/>
            <w:vMerge w:val="restart"/>
            <w:gridSpan w:val="10"/>
            <w:tcBorders>
              <w:top w:val="none" w:sz="5" w:space="0" w:color="auto"/>
              <w:left w:val="none" w:sz="5" w:space="0" w:color="auto"/>
            </w:tcBorders>
            <w:shd w:val="clear" w:color="FFFFFF" w:fill="auto"/>
            <w:textDirection w:val="lrTb"/>
            <w:vAlign w:val="center"/>
          </w:tcPr>
          <w:p>
            <w:pPr>
              <w:wordWrap w:val="1"/>
              <w:jc w:val="center"/>
            </w:pPr>
            <w:r>
              <w:rPr>
                <w:rFonts w:ascii="Times New Roman" w:hAnsi="Times New Roman"/>
                <w:b/>
                <w:sz w:val="24"/>
                <w:szCs w:val="24"/>
                <w:color w:val="000000"/>
              </w:rPr>
              <w:t>Федеральное государственное автономное образовательное </w:t>
              <w:br/>
              <w:t>
учреждение высшего образования </w:t>
              <w:br/>
              <w:t>
«Московский физико-технический институт </w:t>
              <w:br/>
              <w:t>
(национальный исследовательский университет)»</w:t>
            </w: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vMerge w:val="continue"/>
            <w:gridSpan w:val="10"/>
            <w:tcBorders>
              <w:top w:val="none" w:sz="5" w:space="0" w:color="auto"/>
              <w:left w:val="none" w:sz="5" w:space="0" w:color="auto"/>
            </w:tcBorders>
            <w:shd w:val="clear" w:color="FFFFFF" w:fill="auto"/>
            <w:textDirection w:val="lrTb"/>
            <w:vAlign w:val="center"/>
          </w:tcPr>
          <w:p>
            <w:pPr>
              <w:wordWrap w:val="1"/>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2848"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shd w:val="clear" w:color="FFFFFF" w:fill="auto"/>
            <w:textDirection w:val="lrTb"/>
            <w:vAlign w:val="bottom"/>
          </w:tcPr>
          <w:p>
            <w:pPr>
              <w:jc w:val="left"/>
            </w:pPr>
          </w:p>
        </w:tc>
        <w:tc>
          <w:tcPr>
            <w:tcW w:w="2389" w:type="dxa"/>
            <w:gridSpan w:val="4"/>
            <w:tcBorders>
              <w:top w:val="none" w:sz="5" w:space="0" w:color="auto"/>
              <w:left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«УТВЕРЖДАЮ»      </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restart"/>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b/>
                <w:sz w:val="24"/>
                <w:szCs w:val="24"/>
                <w:color w:val="000000"/>
              </w:rPr>
              <w:t>Директор физтех-школы фундаментальной и прикладной физики</w:t>
            </w:r>
          </w:p>
        </w:tc>
        <w:tc>
          <w:tcPr>
            <w:tcW w:w="1063" w:type="dxa"/>
            <w:shd w:val="clear" w:color="FFFFFF" w:fill="auto"/>
            <w:textDirection w:val="lrTb"/>
            <w:vAlign w:val="bottom"/>
          </w:tcPr>
          <w:p>
            <w:pPr>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793" w:type="dxa"/>
            <w:vMerge w:val="continue"/>
            <w:gridSpan w:val="5"/>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3478" w:type="dxa"/>
            <w:gridSpan w:val="4"/>
            <w:tcBorders>
              <w:top w:val="none" w:sz="5" w:space="0" w:color="auto"/>
            </w:tcBorders>
            <w:shd w:val="clear" w:color="FFFFFF" w:fill="auto"/>
            <w:textDirection w:val="lrTb"/>
            <w:vAlign w:val="bottom"/>
          </w:tcPr>
          <w:p>
            <w:pPr>
              <w:wordWrap w:val="0"/>
              <w:jc w:val="right"/>
            </w:pPr>
            <w:r>
              <w:rPr>
                <w:rFonts w:ascii="Times New Roman" w:hAnsi="Times New Roman"/>
                <w:b/>
                <w:sz w:val="24"/>
                <w:szCs w:val="24"/>
                <w:color w:val="000000"/>
              </w:rPr>
              <w:t>_________________ В.В. Киселев</w:t>
            </w:r>
          </w:p>
        </w:tc>
        <w:tc>
          <w:tcPr>
            <w:tcW w:w="315" w:type="dxa"/>
            <w:tcBorders>
              <w:top w:val="none" w:sz="5" w:space="0" w:color="auto"/>
            </w:tcBorders>
            <w:shd w:val="clear" w:color="FFFFFF" w:fill="auto"/>
            <w:textDirection w:val="lrTb"/>
            <w:vAlign w:val="bottom"/>
          </w:tcPr>
          <w:p>
            <w:pPr>
              <w:wordWrap w:val="0"/>
              <w:jc w:val="right"/>
            </w:pPr>
          </w:p>
        </w:tc>
        <w:tc>
          <w:tcPr>
            <w:tcW w:w="1063" w:type="dxa"/>
            <w:shd w:val="clear" w:color="FFFFFF" w:fill="auto"/>
            <w:textDirection w:val="lrTb"/>
            <w:vAlign w:val="bottom"/>
          </w:tcPr>
          <w:p>
            <w:pP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Рабочая программа дисциплины (модуля)</w:t>
            </w: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по дисциплине:</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нейтрино</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tcBorders>
            <w:shd w:val="clear" w:color="FFFFFF" w:fill="auto"/>
            <w:textDirection w:val="lrTb"/>
            <w:vAlign w:val="center"/>
          </w:tcPr>
          <w:p>
            <w:pPr>
              <w:wordWrap w:val="0"/>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1</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195" w:hRule="atLeast"/>
        </w:trPr>
        <w:tc>
          <w:tcPr>
            <w:tcW w:w="643" w:type="dxa"/>
            <w:tcBorders>
              <w:top w:val="none" w:sz="5" w:space="0" w:color="auto"/>
              <w:left w:val="none" w:sz="5" w:space="0" w:color="auto"/>
              <w:bottom w:val="none" w:sz="5" w:space="0" w:color="auto"/>
            </w:tcBorders>
            <w:shd w:val="clear" w:color="FFFFFF" w:fill="auto"/>
            <w:textDirection w:val="lrTb"/>
            <w:vAlign w:val="bottom"/>
          </w:tcPr>
          <w:p>
            <w:pPr>
              <w:wordWrap w:val="0"/>
              <w:jc w:val="left"/>
            </w:pPr>
          </w:p>
        </w:tc>
        <w:tc>
          <w:tcPr>
            <w:tcW w:w="2349" w:type="dxa"/>
            <w:tcBorders>
              <w:top w:val="none" w:sz="5" w:space="0" w:color="auto"/>
              <w:bottom w:val="none" w:sz="5" w:space="0" w:color="auto"/>
            </w:tcBorders>
            <w:shd w:val="clear" w:color="FFFFFF" w:fill="auto"/>
            <w:textDirection w:val="lrTb"/>
            <w:vAlign w:val="bottom"/>
          </w:tcPr>
          <w:p>
            <w:pPr>
              <w:wordWrap w:val="0"/>
              <w:jc w:val="left"/>
            </w:pPr>
          </w:p>
        </w:tc>
        <w:tc>
          <w:tcPr>
            <w:tcW w:w="1772" w:type="dxa"/>
            <w:tcBorders>
              <w:top w:val="none" w:sz="5" w:space="0" w:color="auto"/>
              <w:bottom w:val="none" w:sz="5" w:space="0" w:color="auto"/>
            </w:tcBorders>
            <w:shd w:val="clear" w:color="FFFFFF" w:fill="auto"/>
            <w:textDirection w:val="lrTb"/>
            <w:vAlign w:val="bottom"/>
          </w:tcPr>
          <w:p>
            <w:pPr>
              <w:wordWrap w:val="0"/>
              <w:jc w:val="left"/>
            </w:pPr>
          </w:p>
        </w:tc>
        <w:tc>
          <w:tcPr>
            <w:tcW w:w="1076"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Аудиторных часов: 30 всего, в том числе:</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лекции: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практические и семинарские занятия: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30" w:type="dxa"/>
            <w:gridSpan w:val="5"/>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лабораторные занятия: 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Самостоятельная работа: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Подготовка к экзамену: 30 час.</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Всего часов: 90, всего зач. ед.: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Количество курсовых работ, заданий: 2</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Программу составил:</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Э.В. Бугаев,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8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Программа обсуждена на заседании кафедры </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2 марта 2017 г.</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15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СОГЛАСОВАНО:</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5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Заведующий кафедрой</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В.А. Матвеев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Начальник учебного управления</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И.Р. Гарайшина</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60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Декан факультета</w:t>
            </w:r>
          </w:p>
        </w:tc>
        <w:tc>
          <w:tcPr>
            <w:tcW w:w="2389"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r>
              <w:rPr>
                <w:rFonts w:ascii="Times New Roman" w:hAnsi="Times New Roman"/>
                <w:sz w:val="24"/>
                <w:szCs w:val="24"/>
                <w:color w:val="000000"/>
              </w:rPr>
              <w:t>А.Г. Леонов</w:t>
            </w:r>
          </w:p>
        </w:tc>
        <w:tc>
          <w:tcPr>
            <w:tcW w:w="1063" w:type="dxa"/>
            <w:shd w:val="clear" w:color="FFFFFF" w:fill="auto"/>
            <w:textDirection w:val="lrTb"/>
            <w:vAlign w:val="bottom"/>
          </w:tcPr>
          <w:p>
            <w:pP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p>
        <w:r>
          <w:br w:type="page"/>
        </w:r>
      </w:p>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 Цели и задачи</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Цель дисциплины</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освоение студентами фундаментальных знаний в области физики и астрофизики нейтрино;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изучение возможностей экспериментального изучения свойств нейтрино, а также возможностей практического применения знаний о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6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Задачи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базовых знаний в области физики и астрофизики нейтрино как дисциплины, интегрирующей общефизическую и общетеоретическую подготовку физиков и обеспечивающей технологические основы современных инновационных сфер деятельности;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обучение студентов принципам создания экспериментальных установок, исследующих свойства нейтрино, выявление особенностей их функциональных характеристик в сравнении с  известными экспериментальными установками.</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формирование подходов к выполнению теоретических исследований студентами в области физики нейтрино в рамках выпускных работ на степень магистра.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2. Место дисциплины (модуля) в структуре образовательной программы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Курс «Физика нейтрино» относится к вариативной части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«Физика нейтрино» базируется на дисциплинах:</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Квантовая теория поля;</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Математика.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Дисциплина «Физика нейтрино» предшествует изучению дисциплин:</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Позиционно-чувствительные детекторы на основе полупроводниковых фотоприемников;</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Экспериментальная ядерная физика;</w:t>
            </w:r>
          </w:p>
        </w:tc>
      </w:tr>
      <w:tr>
        <w:trPr>
          <w:trHeight w:val="60" w:hRule="atLeast"/>
        </w:trPr>
        <w:tc>
          <w:tcPr>
            <w:tcW w:w="10696" w:type="dxa"/>
            <w:gridSpan w:val="10"/>
            <w:tcBorders>
              <w:top w:val="none" w:sz="5" w:space="0" w:color="auto"/>
              <w:lef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Проблемы теории элементарных частиц и космологии.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3. Перечень планируемых результатов обучения по дисциплине (модулю), соотнесенных с планируемыми результатами освоения образовательной программы</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Освоение дисциплины направлено на формирование следующих общекультурных, общепрофессиональных и профессиональных компетенций: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 результате освоения дисциплины обучающиеся должны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tcBorders>
            <w:shd w:val="clear" w:color="FFFFFF" w:fill="auto"/>
            <w:tcMar>
              <w:left w:w="0" w:type="dxa"/>
            </w:tcMar>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2992" w:type="dxa"/>
            <w:gridSpan w:val="2"/>
            <w:tcBorders>
              <w:top w:val="none" w:sz="5" w:space="0" w:color="auto"/>
              <w:left w:val="none" w:sz="5" w:space="0" w:color="auto"/>
            </w:tcBorders>
            <w:shd w:val="clear" w:color="FFFFFF" w:fill="auto"/>
            <w:tcMar>
              <w:left w:w="0" w:type="dxa"/>
            </w:tcMar>
            <w:textDirection w:val="lrTb"/>
            <w:vAlign w:val="bottom"/>
          </w:tcPr>
          <w:p>
            <w:pPr>
              <w:wordWrap w:val="1"/>
              <w:jc w:val="left"/>
            </w:pPr>
            <w:r>
              <w:rPr>
                <w:rFonts w:ascii="Times New Roman" w:hAnsi="Times New Roman"/>
                <w:b/>
                <w:sz w:val="24"/>
                <w:szCs w:val="24"/>
                <w:color w:val="000000"/>
              </w:rPr>
              <w:t>знать:</w:t>
            </w: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астрофизики,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физического моделирования;</w:t>
              <w:br/>
              <w:t>
	о взаимосвязях и фундаментальном единстве естественных наук.</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уметь: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владеть:</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4. 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4.1. Разделы дисциплины (модуля) и трудоемкости по видам учебных занятий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643"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single" w:sz="10"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30" w:hRule="atLeast"/>
        </w:trPr>
        <w:tc>
          <w:tcPr>
            <w:tcW w:w="64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w:t>
            </w:r>
          </w:p>
        </w:tc>
        <w:tc>
          <w:tcPr>
            <w:tcW w:w="4121" w:type="dxa"/>
            <w:vMerge w:val="restart"/>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Тема (раздел) дисциплины</w:t>
            </w:r>
          </w:p>
        </w:tc>
        <w:tc>
          <w:tcPr>
            <w:tcW w:w="5932" w:type="dxa"/>
            <w:gridSpan w:val="7"/>
            <w:tcBorders>
              <w:top w:val="single" w:sz="10" w:space="0" w:color="auto"/>
              <w:left w:val="single" w:sz="5" w:space="0" w:color="auto"/>
              <w:bottom w:val="non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Виды учебных занятий, включая самостоятельную работу </w:t>
            </w:r>
          </w:p>
        </w:tc>
      </w:tr>
      <w:tr>
        <w:trPr>
          <w:trHeight w:val="63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Лекции</w:t>
            </w:r>
          </w:p>
        </w:tc>
        <w:tc>
          <w:tcPr>
            <w:tcW w:w="1404"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2"/>
                <w:szCs w:val="22"/>
                <w:color w:val="000000"/>
              </w:rPr>
              <w:t>Практичес- кие и семинарские занятия</w:t>
            </w:r>
          </w:p>
        </w:tc>
        <w:tc>
          <w:tcPr>
            <w:tcW w:w="1129"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Лаборат. работы</w:t>
            </w:r>
          </w:p>
        </w:tc>
        <w:tc>
          <w:tcPr>
            <w:tcW w:w="1260" w:type="dxa"/>
            <w:vMerge w:val="restart"/>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Задания, курсовые работы</w:t>
            </w:r>
          </w:p>
        </w:tc>
        <w:tc>
          <w:tcPr>
            <w:tcW w:w="1063" w:type="dxa"/>
            <w:vMerge w:val="restart"/>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Самост. работа</w:t>
            </w:r>
          </w:p>
        </w:tc>
      </w:tr>
      <w:tr>
        <w:trPr>
          <w:trHeight w:val="570" w:hRule="atLeast"/>
        </w:trPr>
        <w:tc>
          <w:tcPr>
            <w:tcW w:w="64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p>
        </w:tc>
        <w:tc>
          <w:tcPr>
            <w:tcW w:w="4121" w:type="dxa"/>
            <w:vMerge w:val="continue"/>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76"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129"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vMerge w:val="continue"/>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vMerge w:val="continue"/>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Уравнения Дирака и Вейля.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Уравнения Майораны.</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Осцилляции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4</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4</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Классическая теория слабого взаимодействия.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5</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Взаимодействие нейтрино с веществом.</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6</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Электромагнитные свойства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7</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Нейтрино в калибровочных теориях слабого взаимодействия.</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8</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Рождение нейтрино в атмосфере.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Астрофизические и космологические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10</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Нейтрино от термоядерных реакций на Солнце.</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11</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Нейтринная томография Земли.</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12</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Двойной бета-распад и свойства нейтрино.</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60" w:hRule="atLeast"/>
        </w:trPr>
        <w:tc>
          <w:tcPr>
            <w:tcW w:w="64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13</w:t>
            </w:r>
          </w:p>
        </w:tc>
        <w:tc>
          <w:tcPr>
            <w:tcW w:w="4121" w:type="dxa"/>
            <w:gridSpan w:val="2"/>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Нейтринные эксперименты на ускорителях и в космических лучах.</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2</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r>
      <w:tr>
        <w:trPr>
          <w:trHeight w:val="420" w:hRule="atLeast"/>
        </w:trPr>
        <w:tc>
          <w:tcPr>
            <w:tcW w:w="4764"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Итого часов</w:t>
            </w:r>
          </w:p>
        </w:tc>
        <w:tc>
          <w:tcPr>
            <w:tcW w:w="1076"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404"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c>
          <w:tcPr>
            <w:tcW w:w="1129"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260" w:type="dxa"/>
            <w:gridSpan w:val="3"/>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p>
        </w:tc>
        <w:tc>
          <w:tcPr>
            <w:tcW w:w="1063" w:type="dxa"/>
            <w:tcBorders>
              <w:top w:val="single" w:sz="5" w:space="0" w:color="auto"/>
              <w:left w:val="single" w:sz="5" w:space="0" w:color="auto"/>
              <w:bottom w:val="single" w:sz="5" w:space="0" w:color="auto"/>
              <w:right w:val="single" w:sz="5" w:space="0" w:color="auto"/>
            </w:tcBorders>
            <w:shd w:val="clear" w:color="FFFFFF" w:fill="auto"/>
            <w:textDirection w:val="lrTb"/>
            <w:vAlign w:val="center"/>
          </w:tcPr>
          <w:p>
            <w:pPr>
              <w:wordWrap w:val="1"/>
              <w:jc w:val="center"/>
            </w:pPr>
            <w:r>
              <w:rPr>
                <w:rFonts w:ascii="Times New Roman" w:hAnsi="Times New Roman"/>
                <w:sz w:val="24"/>
                <w:szCs w:val="24"/>
                <w:color w:val="000000"/>
              </w:rPr>
              <w:t>30</w:t>
            </w:r>
          </w:p>
        </w:tc>
      </w:tr>
      <w:tr>
        <w:trPr>
          <w:trHeight w:val="37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Подготовка к экзамену</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30 час.</w:t>
            </w:r>
          </w:p>
        </w:tc>
      </w:tr>
      <w:tr>
        <w:trPr>
          <w:trHeight w:val="945" w:hRule="atLeast"/>
        </w:trPr>
        <w:tc>
          <w:tcPr>
            <w:tcW w:w="4764" w:type="dxa"/>
            <w:gridSpan w:val="3"/>
            <w:tcBorders>
              <w:top w:val="single" w:sz="5" w:space="0" w:color="auto"/>
              <w:left w:val="single" w:sz="5" w:space="0" w:color="auto"/>
              <w:bottom w:val="single" w:sz="10" w:space="0" w:color="auto"/>
            </w:tcBorders>
            <w:shd w:val="clear" w:color="FFFFFF" w:fill="auto"/>
            <w:textDirection w:val="lrTb"/>
            <w:vAlign w:val="center"/>
          </w:tcPr>
          <w:p>
            <w:pPr>
              <w:wordWrap w:val="1"/>
              <w:jc w:val="both"/>
            </w:pPr>
            <w:r>
              <w:rPr>
                <w:rFonts w:ascii="Times New Roman" w:hAnsi="Times New Roman"/>
                <w:sz w:val="24"/>
                <w:szCs w:val="24"/>
                <w:color w:val="000000"/>
              </w:rPr>
              <w:t>Общая трудоёмкость</w:t>
            </w:r>
          </w:p>
        </w:tc>
        <w:tc>
          <w:tcPr>
            <w:tcW w:w="5932" w:type="dxa"/>
            <w:gridSpan w:val="7"/>
            <w:tcBorders>
              <w:top w:val="single" w:sz="5" w:space="0" w:color="auto"/>
              <w:left w:val="single" w:sz="5" w:space="0" w:color="auto"/>
              <w:bottom w:val="single" w:sz="10" w:space="0" w:color="auto"/>
              <w:right w:val="single" w:sz="5" w:space="0" w:color="auto"/>
            </w:tcBorders>
            <w:shd w:val="clear" w:color="FFFFFF" w:fill="auto"/>
            <w:textDirection w:val="lrTb"/>
            <w:vAlign w:val="center"/>
          </w:tcPr>
          <w:p>
            <w:pPr>
              <w:wordWrap w:val="1"/>
              <w:jc w:val="both"/>
            </w:pPr>
            <w:r>
              <w:rPr>
                <w:rFonts w:ascii="Times New Roman" w:hAnsi="Times New Roman"/>
                <w:sz w:val="24"/>
                <w:szCs w:val="24"/>
                <w:color w:val="000000"/>
              </w:rPr>
              <w:t>90 час., 2 зач.ед.</w:t>
            </w:r>
          </w:p>
        </w:tc>
      </w:tr>
      <w:tr>
        <w:trPr>
          <w:trHeight w:val="300" w:hRule="atLeast"/>
        </w:trPr>
        <w:tc>
          <w:tcPr>
            <w:tcW w:w="643"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single" w:sz="10"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4.2. </w:t>
            </w: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Содержание дисциплины (модуля), структурированное по темам (разделам)</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1 (Осенний)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Уравнения Дирака и Вейля.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Спиноры и спинорные представления группы Лоренца. Ковариантность уравнения Дирака. Зарядовое сопряжение как симметрия уравнения Дирака. Спиральность и киральность. Левые и правые спиноры. Пространственное отражение. Уравнения Вейля и его дискретная симметрия . Комбинированная инверсия. Теория двухкомпонентного нейтрино. Несохранение чётности и его экспериментальная проверка. Спиральность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Уравнения Майораны.</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Гипотеза Майораны о тождественности нейтрино и антинейтрино. Уравнения Майораны и их связь с уравнениями Вейля. Двухкомпонентные и четырёхкомпонентные майорановские спиноры. Квантование майорановского поля. Пропагаторы майорановских частиц.</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Осцилляции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Природа осцилляций нейтрино. Различные виды осцилляций – осцилляции аромата, осцилляции спиральности, киральности, осцилляции нейтрино-антинейтрино. Осцилляции майорановских нейтрино. Осцилляции при распространении нейтрино в вакууме и в веществе Матрица смешивания нейтрино и её свойства.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Классическая теория слабого взаимодействия.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Гамильтониан взаимодействия нейтрино с лептонами и нуклонами. Лептон-адронные процессы – бета-распад, захват электронов, захват нейтрино. Лептонные числа и их сохранение. Нейтральные и заряженные токи.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Взаимодействие нейтрино с веществом.</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Нейтрино-лептонные взаимодействия. Взаимодействия нейтрино с ядрами при низких энергиях – ядерные матричные элементы,  формула для сечения. Взаимодействия нейтрино с нуклонами при высоких энергиях. Партонная модель и масштабная инвариантность. Слабые формфакторы нуклона, структурные функции нуклона.</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Электромагнитные свойства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Магнитный момент дираковского и майорановского нейтрино. Взаимодействия нейтрино , обусловленные ненулевым магнитным моментом. Порядок величины магнитного момента в простых моделях. Экспериментальные проявления магнитного момента нейтрино.</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Нейтрино в калибровочных теориях слабого взаимодействия.</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Унитарный предел и перенормируемость слабых взаимодействий. Стандартная теория электрослабого взаимодействия. Нейтрино-кварковые взаимодействия. Безмассовость нейтрино в стандартной модели. Расширении  стандартной модели  Члены, содержащие массу нейтрино, в лагранжианах  электрослабой модели.</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Рождение нейтрино в атмосфере.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Ядерный каскадный процесс в атмосфере- рождение широкого атмосферного ливня. Нейтрино от распадов пионов и каонов, рождающихся в каскадах. Энергетические спектры атмосферных нейтрино. Нейтрино от распадов мезонов, содержащих тяжёлые кварки –«прямые нейтрино». Осцилляции нейтрино в потоках атмосферных нейтрино и их экспериментальные проявления.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Астрофизические и космологические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Ускорение космических лучей. Механизм Ферми. Источники космических лучей и нейтрино высоких энергий в галактике и во внегалактическом пространстве. Внегалактический изотропный фон нейтрино. Космологические ограничения на массу нейтрино. Нейтрино от вспышек Сверхновых. Процессы нейтринного охлаждения звёзд. Нейтринная светимость и спектр нейтрино от коллапса звезды. Регистрация вспышек Сверхновых по нейтринному излучению.</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Нейтрино от термоядерных реакций на Солнце.</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Термоядерные циклы – протон-протонный и углеродно-азотный. Потоки нейтрино от Солнца. Эксперименты по регистрации нейтрино от Солнца и открытие явления нейтринных осцилляций. </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Нейтринная томография Земли.</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Недра Земли как источник низкоэнергетических антинейтрино. Зависимость величины потока антинейтрино отмодели строения недр Земли. Экспериментальная регистрация антинейтрино от Земли. Томографические проекты.</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Двойной бета-распад и свойства нейтрино.</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Безнейтринный двойной бета-распад. Майорановсое или дираковское нейтрино? Экспериментальные проблемы регистрации безнейтринного двойного бета-распада.</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Нейтринные эксперименты на ускорителях и в космических лучах.</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Нейтринные эксперименты на ускорителях и в космических лучах.</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Эксперименты по регистрации массы нейтрино. Современные эксперименты по изучению параметров моделей осцилляций нейтрино и измерению параметров нейтринной матрицы смешивания. Эксперименты в космических лучах – поиски астрофизических локальных источников нейтрино высокой энергии. Регистрация нейтрино от взаимодействия космических лучей с фоном микроволнового излучения во внегалактическом пространстве.</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5. Описание материально-технической базы, необходимой для осуществления образовательного процесса по дисциплине (модулю)</w:t>
            </w: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Учебная аудитория, оснащенная мультимедиапроектором и экраном, доской.</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6. Перечень основной и дополнительной литературы, необходимой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Основная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Введение в квантовую теорию поля/ Пескин М.,Шредер Д., Ижевск: НИЦ «Регулярная и хаотическая динамика», 2001, 784 с., ISBN 5-93972-083-8.</w:t>
              <w:br/>
              <w:t>
2.	Введение в теорию ранней Вселенной/ Горбунов Д.С., Рубаков В.А., Москва: КРАСАНД, 2009. -568 с.,-ISBN 978-5-396-00046-9.</w:t>
              <w:br/>
              <w:t>
3.	Физика массивных нейтрино/ Бояркин О.М..Москва, КомКнига, 2006,-200с., ISBN 5-484-00376-8.</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9633" w:type="dxa"/>
            <w:gridSpan w:val="9"/>
            <w:tcBorders>
              <w:top w:val="none" w:sz="5" w:space="0" w:color="auto"/>
              <w:left w:val="none" w:sz="5" w:space="0" w:color="auto"/>
              <w:bottom w:val="none" w:sz="5" w:space="0" w:color="auto"/>
              <w:right w:val="none" w:sz="5" w:space="0" w:color="auto"/>
            </w:tcBorders>
            <w:shd w:val="clear" w:color="FFFFFF" w:fill="auto"/>
            <w:tcMar>
              <w:left w:w="525" w:type="dxa"/>
            </w:tcMar>
            <w:textDirection w:val="lrTb"/>
            <w:vAlign w:val="bottom"/>
          </w:tcPr>
          <w:p>
            <w:pPr>
              <w:wordWrap w:val="1"/>
              <w:jc w:val="left"/>
            </w:pPr>
            <w:r>
              <w:rPr>
                <w:rFonts w:ascii="Times New Roman" w:hAnsi="Times New Roman"/>
                <w:sz w:val="24"/>
                <w:szCs w:val="24"/>
                <w:color w:val="000000"/>
              </w:rPr>
              <w:t>Дополнительная литература</w:t>
            </w: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1.	Слабое взаимодействие в физике ядра, частиц и астрофизике/ Гротц К, Клапдор-Клайнгротхаус Г., Москва «Мир» .1992.-456с.,ISBN 5-03-002138-8.</w:t>
              <w:br/>
              <w:t>
2.	Физика массивных нейтрино/ Боум Ф., Фогель П., Москва «Мир».1990.-303с.,ISBN 5-03-001713-5</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7. Перечень учебно-методического обеспечения для самостоятельной работы обучающихся по дисциплине (модулю)</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Введение в теорию ранней Вселенной/ Горбунов Д.С., Рубаков В.А., Москва: КРАСАНД, 2009. -568 с.,-ISBN 978-5-396-00046-9.</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8. Перечень ресурсов информационно-телекоммуникационной сети "Интернет", необходимых для освоения дисциплины (модуля)</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http://scitation.aip.org/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http://www.sciencemag.org/</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http://www.edu.ru – федеральный портал «Российское образование».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http://benran.ru –библиотека по естественным наукам Российской академии наук.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9.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053" w:type="dxa"/>
            <w:gridSpan w:val="9"/>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На лекционных занятиях используются мультимедийные технологии, включая демонстрацию презентаций. В процессе самостоятельной работы обучающихся возможно использование таких программных средств, как Mathcad, Scilab и др.</w:t>
            </w:r>
          </w:p>
        </w:tc>
      </w:tr>
      <w:tr>
        <w:trPr>
          <w:trHeight w:val="33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300"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10. Методические указания для обучающихся по освоению дисциплины</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cMar>
              <w:left w:w="630" w:type="dxa"/>
            </w:tcMar>
            <w:textDirection w:val="lrTb"/>
            <w:vAlign w:val="bottom"/>
          </w:tcPr>
          <w:p>
            <w:pPr>
              <w:wordWrap w:val="1"/>
              <w:jc w:val="left"/>
            </w:pPr>
          </w:p>
        </w:tc>
        <w:tc>
          <w:tcPr>
            <w:tcW w:w="2349" w:type="dxa"/>
            <w:shd w:val="clear" w:color="FFFFFF" w:fill="auto"/>
            <w:textDirection w:val="lrTb"/>
            <w:vAlign w:val="bottom"/>
          </w:tcPr>
          <w:p>
            <w:pPr>
              <w:jc w:val="left"/>
            </w:pPr>
          </w:p>
        </w:tc>
        <w:tc>
          <w:tcPr>
            <w:tcW w:w="1772" w:type="dxa"/>
            <w:shd w:val="clear" w:color="FFFFFF" w:fill="auto"/>
            <w:textDirection w:val="lrTb"/>
            <w:vAlign w:val="bottom"/>
          </w:tcPr>
          <w:p>
            <w:pPr>
              <w:jc w:val="left"/>
            </w:pPr>
          </w:p>
        </w:tc>
        <w:tc>
          <w:tcPr>
            <w:tcW w:w="1076" w:type="dxa"/>
            <w:shd w:val="clear" w:color="FFFFFF" w:fill="auto"/>
            <w:textDirection w:val="lrTb"/>
            <w:vAlign w:val="bottom"/>
          </w:tcPr>
          <w:p>
            <w:pPr>
              <w:jc w:val="left"/>
            </w:pPr>
          </w:p>
        </w:tc>
        <w:tc>
          <w:tcPr>
            <w:tcW w:w="1404" w:type="dxa"/>
            <w:shd w:val="clear" w:color="FFFFFF" w:fill="auto"/>
            <w:textDirection w:val="lrTb"/>
            <w:vAlign w:val="bottom"/>
          </w:tcPr>
          <w:p>
            <w:pPr>
              <w:jc w:val="left"/>
            </w:pPr>
          </w:p>
        </w:tc>
        <w:tc>
          <w:tcPr>
            <w:tcW w:w="1129" w:type="dxa"/>
            <w:shd w:val="clear" w:color="FFFFFF" w:fill="auto"/>
            <w:textDirection w:val="lrTb"/>
            <w:vAlign w:val="bottom"/>
          </w:tcPr>
          <w:p>
            <w:pPr>
              <w:jc w:val="left"/>
            </w:pPr>
          </w:p>
        </w:tc>
        <w:tc>
          <w:tcPr>
            <w:tcW w:w="1260" w:type="dxa"/>
            <w:gridSpan w:val="3"/>
            <w:shd w:val="clear" w:color="FFFFFF" w:fill="auto"/>
            <w:textDirection w:val="lrTb"/>
            <w:vAlign w:val="bottom"/>
          </w:tcPr>
          <w:p>
            <w:pPr>
              <w:jc w:val="left"/>
            </w:pPr>
          </w:p>
        </w:tc>
        <w:tc>
          <w:tcPr>
            <w:tcW w:w="1063" w:type="dxa"/>
            <w:shd w:val="clear" w:color="FFFFFF" w:fill="auto"/>
            <w:textDirection w:val="lrTb"/>
            <w:vAlign w:val="bottom"/>
          </w:tcPr>
          <w:p>
            <w:pPr>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Студент, изучающий курс «Физика нейтрино», должен с одной стороны, овладеть общим понятийным аппаратом, а с другой стороны, должен научиться применять теоретические знания на практике.</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студент должен знать основные определения, уверенно</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разбираться в указанных выше разделах современной теоретической физики.  Обучающийся должен уметь применять полученные знания для решения различных задач физики нейтрино и нейтринной астрофизики. Изучение курса должно выполняться самостоятельно каждым студентом по итогам каждого из семинаров, результаты контролируются преподавателем на занятиях, при этом  используются конспекты, учебники, рекомендуемые данной программой. По заданию преподавателя решаются задачи, выданные преподавателем по итогам занятий, используются конспект лекций, учебники, рекомендуемые данной программой, а также сборники задач, включая электронные, учебно-методические пособия.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Успешное освоение курса требует напряжённой самостоятельной работы студента. В программе курса приведено минимально необходимое время для работы студента над темой. Самостоятельная работа включает в себя:</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чтение и конспектирование рекомендованной литературы;</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проработку учебного материала (по конспектам лекций, учебной и научной литературе), подготовку ответов на вопросы, предназначенных для самостоятельного изучения, доказательство отдельных утверждений, свойств;</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решение задач, предлагаемых студентам на семинарах;</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подготовку к семинарам, экзамену.</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Руководство и контроль самостоятельной работы студента осуществляется в форме индивидуальных консультаций.</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Показателем владения материалом служит умение решать задачи. Для формирования умения применять теоретические знания на практике студенту необходимо решать как можно больше задач. При решении задач каждое действие необходимо аргументировать, ссылаясь на известные теоретические сведения и экспериментальные данные. </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подготовке к занятиям необходимо повторять ранее пройденный материал. В начале занятия, как правило, проводится короткий (10-15 минут) опрос по материалу прошедших занятий в устной или письменной форме. Обычно придерживаются следующей схемы: изучение материала лекции по конспекту в тот же день, когда была прослушана лекция (10-15 минут); повторение материала накануне следующей лекции (10-15 минут), проработка учебного материала по конспектам лекций, учебной и научной литературе, подготовка ответов на вопросы, предназначенных для самостоятельного изучения, подготовка к практическому занятию, решение задач. Важно добиться понимания изучаемого материала, а не механического его запоминания. При затруднении изучения отдельных тем, вопросов, следует обращаться за консультациями к лектору или преподавателю, ведущему практические занятия.</w:t>
            </w: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b/>
                <w:sz w:val="24"/>
                <w:szCs w:val="24"/>
                <w:color w:val="000000"/>
              </w:rPr>
              <w:t>11. Фонд оценочных средств для проведения промежуточной аттестации по итогам обучения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2992" w:type="dxa"/>
            <w:gridSpan w:val="2"/>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Приложение</w:t>
            </w:r>
          </w:p>
        </w:tc>
        <w:tc>
          <w:tcPr>
            <w:tcW w:w="1772" w:type="dxa"/>
            <w:tcBorders>
              <w:top w:val="none" w:sz="5" w:space="0" w:color="auto"/>
              <w:bottom w:val="none" w:sz="5" w:space="0" w:color="auto"/>
            </w:tcBorders>
            <w:shd w:val="clear" w:color="FFFFFF" w:fill="auto"/>
            <w:textDirection w:val="lrTb"/>
            <w:vAlign w:val="bottom"/>
          </w:tcPr>
          <w:p>
            <w:pPr>
              <w:wordWrap w:val="1"/>
              <w:jc w:val="left"/>
            </w:pPr>
          </w:p>
        </w:tc>
        <w:tc>
          <w:tcPr>
            <w:tcW w:w="1076" w:type="dxa"/>
            <w:tcBorders>
              <w:top w:val="none" w:sz="5" w:space="0" w:color="auto"/>
              <w:bottom w:val="none" w:sz="5" w:space="0" w:color="auto"/>
            </w:tcBorders>
            <w:shd w:val="clear" w:color="FFFFFF" w:fill="auto"/>
            <w:textDirection w:val="lrTb"/>
            <w:vAlign w:val="bottom"/>
          </w:tcPr>
          <w:p>
            <w:pPr>
              <w:wordWrap w:val="1"/>
              <w:jc w:val="left"/>
            </w:pPr>
          </w:p>
        </w:tc>
        <w:tc>
          <w:tcPr>
            <w:tcW w:w="1404" w:type="dxa"/>
            <w:tcBorders>
              <w:top w:val="none" w:sz="5" w:space="0" w:color="auto"/>
              <w:bottom w:val="none" w:sz="5" w:space="0" w:color="auto"/>
            </w:tcBorders>
            <w:shd w:val="clear" w:color="FFFFFF" w:fill="auto"/>
            <w:textDirection w:val="lrTb"/>
            <w:vAlign w:val="bottom"/>
          </w:tcPr>
          <w:p>
            <w:pPr>
              <w:wordWrap w:val="1"/>
              <w:jc w:val="left"/>
            </w:pPr>
          </w:p>
        </w:tc>
        <w:tc>
          <w:tcPr>
            <w:tcW w:w="1129" w:type="dxa"/>
            <w:tcBorders>
              <w:top w:val="none" w:sz="5" w:space="0" w:color="auto"/>
              <w:bottom w:val="none" w:sz="5" w:space="0" w:color="auto"/>
            </w:tcBorders>
            <w:shd w:val="clear" w:color="FFFFFF" w:fill="auto"/>
            <w:textDirection w:val="lrTb"/>
            <w:vAlign w:val="bottom"/>
          </w:tcPr>
          <w:p>
            <w:pPr>
              <w:wordWrap w:val="1"/>
              <w:jc w:val="left"/>
            </w:pPr>
          </w:p>
        </w:tc>
        <w:tc>
          <w:tcPr>
            <w:tcW w:w="1260" w:type="dxa"/>
            <w:gridSpan w:val="3"/>
            <w:tcBorders>
              <w:top w:val="none" w:sz="5" w:space="0" w:color="auto"/>
              <w:bottom w:val="none" w:sz="5" w:space="0" w:color="auto"/>
            </w:tcBorders>
            <w:shd w:val="clear" w:color="FFFFFF" w:fill="auto"/>
            <w:textDirection w:val="lrTb"/>
            <w:vAlign w:val="bottom"/>
          </w:tcPr>
          <w:p>
            <w:pPr>
              <w:wordWrap w:val="1"/>
              <w:jc w:val="left"/>
            </w:pPr>
          </w:p>
        </w:tc>
        <w:tc>
          <w:tcPr>
            <w:tcW w:w="1063" w:type="dxa"/>
            <w:tcBorders>
              <w:top w:val="none" w:sz="5" w:space="0" w:color="auto"/>
              <w:bottom w:val="none" w:sz="5" w:space="0" w:color="auto"/>
              <w:right w:val="none" w:sz="5" w:space="0" w:color="auto"/>
            </w:tcBorders>
            <w:shd w:val="clear" w:color="FFFFFF" w:fill="auto"/>
            <w:textDirection w:val="lrTb"/>
            <w:vAlign w:val="bottom"/>
          </w:tcPr>
          <w:p>
            <w:pPr>
              <w:wordWrap w:val="1"/>
              <w:jc w:val="left"/>
            </w:pPr>
          </w:p>
        </w:tc>
      </w:tr>
      <w:p>
        <w:r>
          <w:br w:type="page"/>
        </w:r>
      </w:p>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tcBorders>
            <w:shd w:val="clear" w:color="FFFFFF" w:fill="auto"/>
            <w:textDirection w:val="lrTb"/>
            <w:vAlign w:val="bottom"/>
          </w:tcPr>
          <w:p>
            <w:pPr>
              <w:wordWrap w:val="0"/>
              <w:jc w:val="right"/>
            </w:pPr>
          </w:p>
        </w:tc>
        <w:tc>
          <w:tcPr>
            <w:tcW w:w="10053" w:type="dxa"/>
            <w:gridSpan w:val="9"/>
            <w:tcBorders>
              <w:top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ПРИЛОЖЕНИЕ</w:t>
            </w:r>
          </w:p>
        </w:tc>
      </w:tr>
      <w:tr>
        <w:trPr>
          <w:trHeight w:val="19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23" w:type="dxa"/>
            <w:gridSpan w:val="4"/>
            <w:tcBorders>
              <w:top w:val="none" w:sz="5" w:space="0" w:color="auto"/>
              <w:lef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right"/>
            </w:pPr>
          </w:p>
        </w:tc>
      </w:tr>
      <w:tr>
        <w:trPr>
          <w:trHeight w:val="30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630" w:type="dxa"/>
            <w:tcBorders>
              <w:bottom w:val="none" w:sz="5" w:space="0" w:color="auto"/>
            </w:tcBorders>
            <w:shd w:val="clear" w:color="FFFFFF" w:fill="auto"/>
            <w:textDirection w:val="lrTb"/>
            <w:vAlign w:val="bottom"/>
          </w:tcPr>
          <w:p>
            <w:pPr>
              <w:wordWrap w:val="0"/>
              <w:jc w:val="right"/>
            </w:pPr>
          </w:p>
        </w:tc>
        <w:tc>
          <w:tcPr>
            <w:tcW w:w="315" w:type="dxa"/>
            <w:tcBorders>
              <w:bottom w:val="none" w:sz="5" w:space="0" w:color="auto"/>
            </w:tcBorders>
            <w:shd w:val="clear" w:color="FFFFFF" w:fill="auto"/>
            <w:textDirection w:val="lrTb"/>
            <w:vAlign w:val="bottom"/>
          </w:tcPr>
          <w:p>
            <w:pPr>
              <w:wordWrap w:val="0"/>
              <w:jc w:val="right"/>
            </w:pPr>
          </w:p>
        </w:tc>
        <w:tc>
          <w:tcPr>
            <w:tcW w:w="315" w:type="dxa"/>
            <w:shd w:val="clear" w:color="FFFFFF" w:fill="auto"/>
            <w:textDirection w:val="lrTb"/>
            <w:vAlign w:val="bottom"/>
          </w:tcPr>
          <w:p>
            <w:pPr>
              <w:jc w:val="left"/>
            </w:pPr>
          </w:p>
        </w:tc>
        <w:tc>
          <w:tcPr>
            <w:tcW w:w="1063" w:type="dxa"/>
            <w:tcBorders>
              <w:top w:val="none" w:sz="5" w:space="0" w:color="auto"/>
            </w:tcBorders>
            <w:shd w:val="clear" w:color="FFFFFF" w:fill="auto"/>
            <w:textDirection w:val="lrTb"/>
            <w:vAlign w:val="bottom"/>
          </w:tcPr>
          <w:p>
            <w:pPr>
              <w:wordWrap w:val="0"/>
              <w:jc w:val="right"/>
            </w:pPr>
          </w:p>
        </w:tc>
      </w:tr>
      <w:tr>
        <w:trPr>
          <w:trHeight w:val="40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ФОНД ОЦЕНОЧНЫХ СРЕДСТВ</w:t>
            </w:r>
          </w:p>
        </w:tc>
      </w:tr>
      <w:tr>
        <w:trPr>
          <w:trHeight w:val="330" w:hRule="atLeast"/>
        </w:trPr>
        <w:tc>
          <w:tcPr>
            <w:tcW w:w="10696" w:type="dxa"/>
            <w:gridSpan w:val="10"/>
            <w:shd w:val="clear" w:color="FFFFFF" w:fill="auto"/>
            <w:textDirection w:val="lrTb"/>
            <w:vAlign w:val="bottom"/>
          </w:tcPr>
          <w:p>
            <w:pPr>
              <w:jc w:val="center"/>
            </w:pPr>
            <w:r>
              <w:rPr>
                <w:rFonts w:ascii="Times New Roman" w:hAnsi="Times New Roman"/>
                <w:b/>
                <w:sz w:val="24"/>
                <w:szCs w:val="24"/>
              </w:rPr>
              <w:t>ДЛЯ ПРОВЕДЕНИЯ ПРОМЕЖУТОЧНОЙ АТТЕСТАЦИИ ОБУЧАЮЩИХСЯ</w:t>
            </w:r>
          </w:p>
        </w:tc>
      </w:tr>
      <w:tr>
        <w:trPr>
          <w:trHeight w:val="375"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center"/>
            </w:pPr>
            <w:r>
              <w:rPr>
                <w:rFonts w:ascii="Times New Roman" w:hAnsi="Times New Roman"/>
                <w:b/>
                <w:sz w:val="24"/>
                <w:szCs w:val="24"/>
                <w:color w:val="000000"/>
              </w:rPr>
              <w:t>ПО ДИСЦИПЛИНЕ</w:t>
            </w:r>
          </w:p>
        </w:tc>
      </w:tr>
      <w:tr>
        <w:trPr>
          <w:trHeight w:val="27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30" w:hRule="atLeast"/>
        </w:trPr>
        <w:tc>
          <w:tcPr>
            <w:tcW w:w="10696" w:type="dxa"/>
            <w:gridSpan w:val="10"/>
            <w:tcBorders>
              <w:top w:val="none" w:sz="5" w:space="0" w:color="auto"/>
              <w:left w:val="none" w:sz="5" w:space="0" w:color="auto"/>
            </w:tcBorders>
            <w:shd w:val="clear" w:color="FFFFFF" w:fill="auto"/>
            <w:textDirection w:val="lrTb"/>
            <w:vAlign w:val="bottom"/>
          </w:tcPr>
          <w:p>
            <w:pPr>
              <w:wordWrap w:val="0"/>
              <w:jc w:val="center"/>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0"/>
              <w:jc w:val="left"/>
            </w:pPr>
            <w:r>
              <w:rPr>
                <w:rFonts w:ascii="Times New Roman" w:hAnsi="Times New Roman"/>
                <w:b/>
                <w:sz w:val="24"/>
                <w:szCs w:val="24"/>
                <w:color w:val="000000"/>
              </w:rPr>
              <w:t>по направлению:</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center"/>
          </w:tcPr>
          <w:p>
            <w:pPr>
              <w:wordWrap w:val="1"/>
              <w:jc w:val="left"/>
            </w:pPr>
            <w:r>
              <w:rPr>
                <w:rFonts w:ascii="Times New Roman" w:hAnsi="Times New Roman"/>
                <w:sz w:val="24"/>
                <w:szCs w:val="24"/>
                <w:color w:val="000000"/>
              </w:rPr>
              <w:t>Прикладные математика и физика (магистратура)</w:t>
            </w:r>
          </w:p>
        </w:tc>
      </w:tr>
      <w:tr>
        <w:trPr>
          <w:trHeight w:val="340" w:hRule="atLeast"/>
        </w:trPr>
        <w:tc>
          <w:tcPr>
            <w:tcW w:w="643" w:type="dxa"/>
            <w:tcBorders>
              <w:top w:val="none" w:sz="5" w:space="0" w:color="auto"/>
              <w:lef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профиль подготовки:</w:t>
            </w:r>
          </w:p>
        </w:tc>
        <w:tc>
          <w:tcPr>
            <w:tcW w:w="2349" w:type="dxa"/>
            <w:tcBorders>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Физика фундаментальных взаимодействий</w:t>
            </w:r>
          </w:p>
        </w:tc>
      </w:tr>
      <w:tr>
        <w:trPr>
          <w:trHeight w:val="34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Факультет проблем физики и энергетики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r>
              <w:rPr>
                <w:rFonts w:ascii="Times New Roman" w:hAnsi="Times New Roman"/>
                <w:sz w:val="24"/>
                <w:szCs w:val="24"/>
                <w:color w:val="000000"/>
              </w:rPr>
              <w:t>Кафедра фундаментальных взаимодействий и космологии</w:t>
            </w: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курс:</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u w:val="single"/>
                <w:color w:val="000000"/>
              </w:rPr>
              <w:t>1</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4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b/>
                <w:sz w:val="24"/>
                <w:szCs w:val="24"/>
                <w:color w:val="000000"/>
              </w:rPr>
              <w:t>квалификация:</w:t>
            </w:r>
          </w:p>
        </w:tc>
        <w:tc>
          <w:tcPr>
            <w:tcW w:w="5381" w:type="dxa"/>
            <w:gridSpan w:val="4"/>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магистр</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0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r>
              <w:rPr>
                <w:rFonts w:ascii="Times New Roman" w:hAnsi="Times New Roman"/>
                <w:sz w:val="24"/>
                <w:szCs w:val="24"/>
                <w:color w:val="000000"/>
              </w:rPr>
              <w:t>Семестр, формы промежуточной аттестации: 1(Осенний) - Экзамен</w:t>
            </w:r>
          </w:p>
        </w:tc>
      </w:tr>
      <w:tr>
        <w:trPr>
          <w:trHeight w:val="21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0"/>
              <w:jc w:val="left"/>
            </w:pPr>
            <w:r>
              <w:rPr>
                <w:rFonts w:ascii="Times New Roman" w:hAnsi="Times New Roman"/>
                <w:b/>
                <w:sz w:val="24"/>
                <w:szCs w:val="24"/>
                <w:color w:val="000000"/>
              </w:rPr>
              <w:t>Разработчик:</w:t>
            </w:r>
          </w:p>
        </w:tc>
        <w:tc>
          <w:tcPr>
            <w:tcW w:w="7704" w:type="dxa"/>
            <w:gridSpan w:val="8"/>
            <w:tcBorders>
              <w:top w:val="none" w:sz="5" w:space="0" w:color="auto"/>
              <w:left w:val="none" w:sz="5" w:space="0" w:color="auto"/>
              <w:bottom w:val="none" w:sz="5" w:space="0" w:color="auto"/>
              <w:right w:val="none" w:sz="5" w:space="0" w:color="auto"/>
            </w:tcBorders>
            <w:shd w:val="clear" w:color="FFFFFF" w:fill="auto"/>
            <w:textDirection w:val="lrTb"/>
            <w:vAlign w:val="top"/>
          </w:tcPr>
          <w:p>
            <w:pPr>
              <w:wordWrap w:val="1"/>
              <w:jc w:val="left"/>
            </w:pPr>
            <w:r>
              <w:rPr>
                <w:rFonts w:ascii="Times New Roman" w:hAnsi="Times New Roman"/>
                <w:sz w:val="24"/>
                <w:szCs w:val="24"/>
                <w:color w:val="000000"/>
              </w:rPr>
              <w:t>Э.В. Бугаев, д-р физ.-мат. наук</w:t>
            </w:r>
          </w:p>
        </w:tc>
      </w:tr>
      <w:tr>
        <w:trPr>
          <w:trHeight w:val="22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p>
        <w:r>
          <w:br w:type="page"/>
        </w:r>
      </w:p>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1. Компетенции, формируемые в процессе изучения дисциплины</w:t>
              <w:br/>
              <w:t>
</w:t>
              <w:br/>
              <w:t>
</w:t>
            </w: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sz w:val="24"/>
                <w:szCs w:val="24"/>
              </w:rPr>
              <w:t>Освоение дисциплины направлено на формирование у обучающегося следующих общекультурных (ОК), общепрофессиональных (ОПК) и профессиональных (ПК) компетенций:</w:t>
            </w:r>
          </w:p>
        </w:tc>
      </w:tr>
      <w:tr>
        <w:trPr>
          <w:trHeight w:val="60" w:hRule="atLeast"/>
        </w:trPr>
        <w:tc>
          <w:tcPr>
            <w:tcW w:w="643" w:type="dxa"/>
            <w:shd w:val="clear" w:color="FFFFFF" w:fill="auto"/>
            <w:textDirection w:val="lrTb"/>
            <w:vAlign w:val="bottom"/>
          </w:tcPr>
          <w:p>
            <w:pPr>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готовность руководить коллективом в сфере своей профессиональной деятельности, толерантно воспринимая социальные, этнические, конфессиональные и культурные различия (ОПК-2);</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выбирать цели своей деятельности и пути их достижения, прогнозировать последствия научной, производственной и социальной деятельности (ОПК-4);</w:t>
            </w: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способность профессионально работать с исследовательским и испытательным оборудованием, приборами и установками в избранной предметной области в соответствии с целями программы специализированной подготовки магистра (ПК-4).</w:t>
            </w:r>
          </w:p>
        </w:tc>
      </w:tr>
      <w:tr>
        <w:trPr>
          <w:trHeight w:val="315"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234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left"/>
            </w:pPr>
          </w:p>
        </w:tc>
      </w:tr>
      <w:tr>
        <w:trPr>
          <w:trHeight w:val="315" w:hRule="atLeast"/>
        </w:trPr>
        <w:tc>
          <w:tcPr>
            <w:tcW w:w="8373" w:type="dxa"/>
            <w:gridSpan w:val="6"/>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2. Показатели оценивания компетенций</w:t>
            </w: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 результате изучения дисциплины «Физика нейтрино» обучающийся должен:</w:t>
            </w:r>
          </w:p>
        </w:tc>
      </w:tr>
      <w:tr>
        <w:trPr>
          <w:trHeight w:val="60" w:hRule="atLeast"/>
        </w:trPr>
        <w:tc>
          <w:tcPr>
            <w:tcW w:w="643" w:type="dxa"/>
            <w:tcBorders>
              <w:top w:val="none" w:sz="5" w:space="0" w:color="auto"/>
              <w:left w:val="none" w:sz="5" w:space="0" w:color="auto"/>
            </w:tcBorders>
            <w:shd w:val="clear" w:color="FFFFFF" w:fill="auto"/>
            <w:tcMar/>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2992" w:type="dxa"/>
            <w:gridSpan w:val="2"/>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b/>
                <w:sz w:val="24"/>
                <w:szCs w:val="24"/>
                <w:color w:val="000000"/>
              </w:rPr>
              <w:t>знать:</w:t>
            </w: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место и роль общих вопросов науки в научных исследованиях;</w:t>
              <w:br/>
              <w:t>
	современные проблемы физики, астрофизики, математики;</w:t>
              <w:br/>
              <w:t>
	теоретические модели фундаментальных процессов и явлений в физике и ее приложениях;</w:t>
              <w:br/>
              <w:t>
	принципы симметрии и законы сохранения;</w:t>
              <w:br/>
              <w:t>
	новейшие открытия естествознания;</w:t>
              <w:br/>
              <w:t>
	постановку проблем физического моделирования;</w:t>
              <w:br/>
              <w:t>
	о взаимосвязях и фундаментальном единстве естественных наук.</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уметь: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эффективно использовать на практике теоретические компоненты науки: понятия, суждения, умозаключения, законы;</w:t>
              <w:br/>
              <w:t>
	представить панораму универсальных методов и законов современного естествознания;</w:t>
              <w:br/>
              <w:t>
	работать на современном экспериментальном оборудовании;</w:t>
              <w:br/>
              <w:t>
	абстрагироваться от несущественных влияний при моделировании реальных физических ситуаций;</w:t>
              <w:br/>
              <w:t>
	планировать оптимальное проведение эксперимента.</w:t>
            </w:r>
          </w:p>
        </w:tc>
      </w:tr>
      <w:tr>
        <w:trPr>
          <w:trHeight w:val="300" w:hRule="atLeast"/>
        </w:trPr>
        <w:tc>
          <w:tcPr>
            <w:tcW w:w="2992" w:type="dxa"/>
            <w:gridSpan w:val="2"/>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r>
              <w:rPr>
                <w:rFonts w:ascii="Times New Roman" w:hAnsi="Times New Roman"/>
                <w:b/>
                <w:sz w:val="24"/>
                <w:szCs w:val="24"/>
                <w:color w:val="000000"/>
              </w:rPr>
              <w:t>владеть:</w:t>
            </w:r>
          </w:p>
        </w:tc>
        <w:tc>
          <w:tcPr>
            <w:tcW w:w="1772"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76"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404"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129"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260" w:type="dxa"/>
            <w:gridSpan w:val="3"/>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c>
          <w:tcPr>
            <w:tcW w:w="106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0"/>
              <w:jc w:val="both"/>
            </w:pPr>
          </w:p>
        </w:tc>
      </w:tr>
      <w:tr>
        <w:trPr>
          <w:trHeight w:val="60" w:hRule="atLeast"/>
        </w:trPr>
        <w:tc>
          <w:tcPr>
            <w:tcW w:w="10696" w:type="dxa"/>
            <w:gridSpan w:val="10"/>
            <w:tcBorders>
              <w:top w:val="none" w:sz="5" w:space="0" w:color="auto"/>
              <w:left w:val="none" w:sz="5" w:space="0" w:color="auto"/>
              <w:bottom w:val="none" w:sz="5" w:space="0" w:color="auto"/>
              <w:righ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планированием, постановкой и обработкой результатов физического эксперимента;</w:t>
              <w:br/>
              <w:t>
	научной картиной мира;</w:t>
              <w:br/>
              <w:t>
	навыками самостоятельной работы в лаборатории на современном экспериментальном оборудовании;</w:t>
              <w:br/>
              <w:t>
	математическим моделированием физических задач.</w:t>
              <w:br/>
              <w:t>
</w:t>
            </w: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extDirection w:val="lrTb"/>
            <w:vAlign w:val="bottom"/>
          </w:tcPr>
          <w:p>
            <w:pPr>
              <w:wordWrap w:val="1"/>
              <w:jc w:val="both"/>
            </w:pPr>
            <w:r>
              <w:rPr>
                <w:rFonts w:ascii="Times New Roman" w:hAnsi="Times New Roman"/>
                <w:b/>
                <w:sz w:val="24"/>
                <w:szCs w:val="24"/>
                <w:color w:val="000000"/>
              </w:rPr>
              <w:t>3. Перечень типовых контрольных заданий, используемых для оценки знаний, умений, навыков</w:t>
            </w:r>
          </w:p>
        </w:tc>
      </w:tr>
      <w:tr>
        <w:trPr>
          <w:trHeight w:val="60" w:hRule="atLeast"/>
        </w:trPr>
        <w:tc>
          <w:tcPr>
            <w:tcW w:w="643" w:type="dxa"/>
            <w:tcBorders>
              <w:top w:val="none" w:sz="5" w:space="0" w:color="auto"/>
              <w:lef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643" w:type="dxa"/>
            <w:tcBorders>
              <w:top w:val="none" w:sz="5" w:space="0" w:color="auto"/>
              <w:left w:val="none" w:sz="5" w:space="0" w:color="auto"/>
              <w:bottom w:val="none" w:sz="5" w:space="0" w:color="auto"/>
              <w:right w:val="none" w:sz="5" w:space="0" w:color="auto"/>
            </w:tcBorders>
            <w:shd w:val="clear" w:color="FFFFFF" w:fill="auto"/>
            <w:textDirection w:val="lrTb"/>
            <w:vAlign w:val="bottom"/>
          </w:tcPr>
          <w:p>
            <w:pPr>
              <w:wordWrap w:val="1"/>
              <w:jc w:val="both"/>
            </w:pPr>
          </w:p>
        </w:tc>
        <w:tc>
          <w:tcPr>
            <w:tcW w:w="2349" w:type="dxa"/>
            <w:shd w:val="clear" w:color="FFFFFF" w:fill="auto"/>
            <w:textDirection w:val="lrTb"/>
            <w:vAlign w:val="bottom"/>
          </w:tcPr>
          <w:p>
            <w:pPr>
              <w:jc w:val="both"/>
            </w:pPr>
          </w:p>
        </w:tc>
        <w:tc>
          <w:tcPr>
            <w:tcW w:w="1772" w:type="dxa"/>
            <w:shd w:val="clear" w:color="FFFFFF" w:fill="auto"/>
            <w:textDirection w:val="lrTb"/>
            <w:vAlign w:val="bottom"/>
          </w:tcPr>
          <w:p>
            <w:pPr>
              <w:jc w:val="both"/>
            </w:pPr>
          </w:p>
        </w:tc>
        <w:tc>
          <w:tcPr>
            <w:tcW w:w="1076" w:type="dxa"/>
            <w:shd w:val="clear" w:color="FFFFFF" w:fill="auto"/>
            <w:textDirection w:val="lrTb"/>
            <w:vAlign w:val="bottom"/>
          </w:tcPr>
          <w:p>
            <w:pPr>
              <w:jc w:val="both"/>
            </w:pPr>
          </w:p>
        </w:tc>
        <w:tc>
          <w:tcPr>
            <w:tcW w:w="1404" w:type="dxa"/>
            <w:shd w:val="clear" w:color="FFFFFF" w:fill="auto"/>
            <w:textDirection w:val="lrTb"/>
            <w:vAlign w:val="bottom"/>
          </w:tcPr>
          <w:p>
            <w:pPr>
              <w:jc w:val="both"/>
            </w:pPr>
          </w:p>
        </w:tc>
        <w:tc>
          <w:tcPr>
            <w:tcW w:w="1129" w:type="dxa"/>
            <w:shd w:val="clear" w:color="FFFFFF" w:fill="auto"/>
            <w:textDirection w:val="lrTb"/>
            <w:vAlign w:val="bottom"/>
          </w:tcPr>
          <w:p>
            <w:pPr>
              <w:jc w:val="both"/>
            </w:pPr>
          </w:p>
        </w:tc>
        <w:tc>
          <w:tcPr>
            <w:tcW w:w="1260" w:type="dxa"/>
            <w:gridSpan w:val="3"/>
            <w:shd w:val="clear" w:color="FFFFFF" w:fill="auto"/>
            <w:textDirection w:val="lrTb"/>
            <w:vAlign w:val="bottom"/>
          </w:tcPr>
          <w:p>
            <w:pPr>
              <w:jc w:val="both"/>
            </w:pPr>
          </w:p>
        </w:tc>
        <w:tc>
          <w:tcPr>
            <w:tcW w:w="1063" w:type="dxa"/>
            <w:shd w:val="clear" w:color="FFFFFF" w:fill="auto"/>
            <w:textDirection w:val="lrTb"/>
            <w:vAlign w:val="bottom"/>
          </w:tcPr>
          <w:p>
            <w:pPr>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Промежуточная аттестация по дисциплине «Физика нейтрино» осуществляется в форме экзамена. Экзамен проводится в устной форме.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Спинорные волновые функции фермионов. Лоренц-инвариантность волновых уравнений.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Уравнение Дирака. Приводимость дираковского представления группы Лоренца.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Вывод уравнений Вейля из уравнения Дирака (в безмассовом пределе).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Киральность и спиральность – на примере решений уравнения Вейля.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Дискретная симметрия уравнений Вейля.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Двухкомпонентная теория нейтрино. Комбинированная инверсия.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7.	Дискретные симметрии уравнения Дирака. Зарядовое сопряжение.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8.	Уравнения Майораны. Инвариантность массовых членов этих уравнений.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9.	Двухкомпонентные и четырёхкомпонентные майорановские спиноры.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10.	Квантование майорановского поля.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11.	Осцилляции ароматов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12.	Система двух майорановских нейтрино. Диагонализация массовой части лагранжиана.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13.	Осцилляции спиральности нейтрино при движении в магнитном поле.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14.	Осцилляции при распространении нейтрино в веществе. Эффект Михеева-Смирнова-Вольфенштейна.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15.	Лагранжиан четырёхфермионного слабого взаимодействия. Заряженные и нейтральные токи.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16.	Нейтрино-лептонные взаимодействия.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17.	Магнитный момент дираковского нейтрино. Равенство нулю диагонального магнитного момента майорановского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18.	Безмассовость нейтрино и отсутствие осцилляций в стандартной модели электрослабого взаимодействия.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19.	Дираковская и майорановская массы в расширениях электрослабой модели.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20.	Нейтрино-кварковые взаимодействия в стандартной модели.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21.	Источники нейтрино при взаимодействиях космических лучей в атмосфере.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22.	Фермиевский механизм ускорения космических лучей. Локальные астрофизические источники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23.	Нейтрино от Солнца. Оценка величины потока нейтрино в случае протон-протонного цикла термоядерных реакций.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24.	Нейтрино от взаимодействия космических лучей с микроволновым излучением.</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25.	Источники антинейтрино от Земли.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26.	Эксперимент по регистрации массы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27.	Эксперименты по измерению параметров осцилляций на ускорителях.</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Возможные темы курсовых работ:</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Дискретные симметрии уравнений Дирака, Вейля и Майораны.</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Энергетическая зависимость сечений в четырёхфермионной теории слабого взаимодействия (в первом порядке теории возмущений).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Взаимодействие нейтрино с кварками в рамках партонной модели.</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4.	Осцилляции спиральности при распространении нейтрино в магнитном поле.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5.	Поток нейтрино  от Солнца (оценка по порядку величины) от рр-цикла термоядерных реакций.</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6.	Фермиевская модель ускорения космических лучей.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 Примеры экзаменационных билетов, используемых для проведения экзамена:</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1</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Уравнения Вейля. Теория двухкомпонентного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Электромагнитные взаимодействия нейтрино. Магнитный момент дираковского и майорановского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Показать, используя уравнение Дирака, что операторы киральности и спиральности частицы совпадают в пределе, когда масса частицы равна нулю.</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 2</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Осцилляции в пучках антинейтрино и осцилляции нейтрино-антинейтрино.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Матрица смешивания нейтрино в случае трёх  типов нейтрино, её свойства и параметризация.</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Проверить Лоренц-инвариантность  массовых членов Лагранжиана  нейтринного поля (в случае, когда нейтрино майорановское).</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Билет3</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1.	Осцилляции в нерелятивистской квантовой механике.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2.	Способы экспериментальной проверки гипотезы о майорановской природе нейтрино.</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3.	Показать,  используя общий вид Лагранжиана нейтринного поля, что квантовое поле дираковского нейтрино может быть представлено в виде суперпозиции двух майорановских полей с равными массами.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left"/>
            </w:pPr>
            <w:r>
              <w:rPr>
                <w:rFonts w:ascii="Times New Roman" w:hAnsi="Times New Roman"/>
                <w:b/>
                <w:sz w:val="24"/>
                <w:szCs w:val="24"/>
              </w:rPr>
              <w:t>4. Критерии оценивания</w:t>
            </w:r>
          </w:p>
        </w:tc>
      </w:tr>
      <w:tr>
        <w:trPr>
          <w:trHeight w:val="60" w:hRule="atLeast"/>
        </w:trPr>
        <w:tc>
          <w:tcPr>
            <w:tcW w:w="643" w:type="dxa"/>
            <w:shd w:val="clear" w:color="FFFFFF" w:fill="auto"/>
            <w:textDirection w:val="lrTb"/>
            <w:vAlign w:val="bottom"/>
          </w:tcPr>
          <w:p>
            <w:pPr>
              <w:jc w:val="left"/>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(10)» заслуживает студент, обнаруживший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лабораторных занятиях, разбирающийся в основных научных концепциях по изучаемой дисциплине,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«отлично (9)» заслуживает студент, обнаруживший всестороннее, систематическое знание учебного программного материала, самостоятельно выполнивший все предусмотренные программой задания, глубоко усвоивший основную литературу и знаком с дополнительной литературой, рекомендованной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 ответ отличается точностью использованных терминов, материал излагается последовательно и логично.</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«отлично (8)» заслуживает студент, обнаруживший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(7)»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все предусмотренные программой задания, усвоивший основную литературу, рекомендованную программой, активно работавший на практических, семинарских, лабораторных занятиях, показавший систематический характер знаний по дисциплине, достаточный для дальнейшей учебы, а также способность к их самостоятельному пополнению.</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(6)» заслуживает студент, обнаруживший достаточно полное знание учебно-программного материала, не допускающий в ответе существенных неточностей, самостоятельно выполнивший основные предусмотренные программой задания, усвоивший основную литературу, рекомендованную программой, отличавшийся достаточной активностью на практических (семинарских) и лабораторных занятиях, показавший систематический характер знаний по дисциплине, достаточный для дальнейшей учебы.</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«хорошо (5)»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па экзамене, но обладающий необходимыми знаниями для их самостоятельного устранения.</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(4)»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усвоивший основную литературу, рекомендованную программой, однако допустивший некоторые погрешности при их выполнении и в ответе на экзамене, но обладающий необходимыми знаниями для устранения под руководством преподавателя допущенных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Оценку «удовлетворительно (3)» заслуживает студент, обнаруживший знание основного учебно-программного материала в объёме, необходимом для дальнейшей учебы и предстоящей работы по профессии, не отличавшийся активностью на практических (семинарских) и лабораторных занятиях, самостоятельно выполнивший основные предусмотренные программой задания, однако допустивший погрешности при их выполнении и в ответе на экзамене, но обладающий необходимыми знаниями для устранения под руководством преподавателя наиболее существенных погрешностей.</w:t>
            </w:r>
          </w:p>
        </w:tc>
      </w:tr>
      <w:tr>
        <w:trPr>
          <w:trHeight w:val="60" w:hRule="atLeast"/>
        </w:trPr>
        <w:tc>
          <w:tcPr>
            <w:tcW w:w="10696" w:type="dxa"/>
            <w:gridSpan w:val="10"/>
            <w:shd w:val="clear" w:color="FFFFFF" w:fill="auto"/>
            <w:tcMar/>
            <w:textDirection w:val="lrTb"/>
            <w:vAlign w:val="bottom"/>
          </w:tcPr>
          <w:p>
            <w:pPr>
              <w:wordWrap w:val="1"/>
              <w:jc w:val="both"/>
            </w:pPr>
            <w:r>
              <w:rPr>
                <w:rFonts w:ascii="Times New Roman" w:hAnsi="Times New Roman"/>
                <w:sz w:val="24"/>
                <w:szCs w:val="24"/>
              </w:rPr>
              <w:t>Оценка «неудовлетворительно (2)» выставляется студенту, обнаружившему пробелы в знаниях или отсутствие знаний по значительной части основного учебно-программного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практические, семинарские, лабораторные занятия, допускающему существенные ошибки при ответе, и который не может продолжить обучение или приступить к профессиональной деятельности без дополнительных занятий по соответствующей дисциплине.</w:t>
            </w:r>
          </w:p>
        </w:tc>
      </w:tr>
      <w:tr>
        <w:trPr>
          <w:trHeight w:val="60" w:hRule="atLeast"/>
        </w:trPr>
        <w:tc>
          <w:tcPr>
            <w:tcW w:w="10696" w:type="dxa"/>
            <w:gridSpan w:val="10"/>
            <w:shd w:val="clear" w:color="FFFFFF" w:fill="auto"/>
            <w:tcMar/>
            <w:textDirection w:val="lrTb"/>
            <w:vAlign w:val="bottom"/>
          </w:tcPr>
          <w:p>
            <w:pPr>
              <w:wordWrap w:val="1"/>
              <w:jc w:val="both"/>
            </w:pPr>
            <w:tab/>
            <w:r>
              <w:rPr>
                <w:rFonts w:ascii="Times New Roman" w:hAnsi="Times New Roman"/>
                <w:sz w:val="24"/>
                <w:szCs w:val="24"/>
              </w:rPr>
              <w:tab/>
              <w:t>	Оценка «неудовлетворительно (1)» выставляется студенту, не ответившему на заданные (отказ от ответа, представленный ответ полностью не по существу содержащихся в экзаменационном задании вопросов).</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shd w:val="clear" w:color="FFFFFF" w:fill="auto"/>
            <w:textDirection w:val="lrTb"/>
            <w:vAlign w:val="bottom"/>
          </w:tcPr>
          <w:p>
            <w:pPr>
              <w:jc w:val="both"/>
            </w:pPr>
            <w:r>
              <w:rPr>
                <w:rFonts w:ascii="Times New Roman" w:hAnsi="Times New Roman"/>
                <w:b/>
                <w:sz w:val="24"/>
                <w:szCs w:val="24"/>
              </w:rPr>
              <w:t>5. Методические материалы, определяющие процедуры оценивания знаний, умений, навыков и (или) опыта деятельности</w:t>
            </w:r>
          </w:p>
        </w:tc>
      </w:tr>
      <w:tr>
        <w:trPr>
          <w:trHeight w:val="60" w:hRule="atLeast"/>
        </w:trPr>
        <w:tc>
          <w:tcPr>
            <w:tcW w:w="643" w:type="dxa"/>
            <w:shd w:val="clear" w:color="FFFFFF" w:fill="auto"/>
            <w:textDirection w:val="lrTb"/>
            <w:vAlign w:val="bottom"/>
          </w:tcPr>
          <w:p>
            <w:pPr/>
          </w:p>
        </w:tc>
        <w:tc>
          <w:tcPr>
            <w:tcW w:w="2349" w:type="dxa"/>
            <w:shd w:val="clear" w:color="FFFFFF" w:fill="auto"/>
            <w:textDirection w:val="lrTb"/>
            <w:vAlign w:val="bottom"/>
          </w:tcPr>
          <w:p>
            <w:pPr/>
          </w:p>
        </w:tc>
        <w:tc>
          <w:tcPr>
            <w:tcW w:w="1772" w:type="dxa"/>
            <w:shd w:val="clear" w:color="FFFFFF" w:fill="auto"/>
            <w:textDirection w:val="lrTb"/>
            <w:vAlign w:val="bottom"/>
          </w:tcPr>
          <w:p>
            <w:pPr/>
          </w:p>
        </w:tc>
        <w:tc>
          <w:tcPr>
            <w:tcW w:w="1076" w:type="dxa"/>
            <w:shd w:val="clear" w:color="FFFFFF" w:fill="auto"/>
            <w:textDirection w:val="lrTb"/>
            <w:vAlign w:val="bottom"/>
          </w:tcPr>
          <w:p>
            <w:pPr/>
          </w:p>
        </w:tc>
        <w:tc>
          <w:tcPr>
            <w:tcW w:w="1404" w:type="dxa"/>
            <w:shd w:val="clear" w:color="FFFFFF" w:fill="auto"/>
            <w:textDirection w:val="lrTb"/>
            <w:vAlign w:val="bottom"/>
          </w:tcPr>
          <w:p>
            <w:pPr/>
          </w:p>
        </w:tc>
        <w:tc>
          <w:tcPr>
            <w:tcW w:w="1129" w:type="dxa"/>
            <w:shd w:val="clear" w:color="FFFFFF" w:fill="auto"/>
            <w:textDirection w:val="lrTb"/>
            <w:vAlign w:val="bottom"/>
          </w:tcPr>
          <w:p>
            <w:pPr/>
          </w:p>
        </w:tc>
        <w:tc>
          <w:tcPr>
            <w:tcW w:w="1260" w:type="dxa"/>
            <w:gridSpan w:val="3"/>
            <w:shd w:val="clear" w:color="FFFFFF" w:fill="auto"/>
            <w:textDirection w:val="lrTb"/>
            <w:vAlign w:val="bottom"/>
          </w:tcPr>
          <w:p>
            <w:pPr/>
          </w:p>
        </w:tc>
        <w:tc>
          <w:tcPr>
            <w:tcW w:w="1063" w:type="dxa"/>
            <w:shd w:val="clear" w:color="FFFFFF" w:fill="auto"/>
            <w:textDirection w:val="lrTb"/>
            <w:vAlign w:val="bottom"/>
          </w:tcPr>
          <w:p>
            <w:pP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При проведении устного экзамена обучающемуся предоставляется не менее 45 минут на подготовку. Опрос обучающегося по билету на устном экзамене не должен превышает двух астрономических часов. </w:t>
            </w:r>
          </w:p>
        </w:tc>
      </w:tr>
      <w:tr>
        <w:trPr>
          <w:trHeight w:val="60" w:hRule="atLeast"/>
        </w:trPr>
        <w:tc>
          <w:tcPr>
            <w:tcW w:w="10696" w:type="dxa"/>
            <w:gridSpan w:val="10"/>
            <w:tcBorders>
              <w:top w:val="none" w:sz="5" w:space="0" w:color="auto"/>
              <w:left w:val="none" w:sz="5" w:space="0" w:color="auto"/>
            </w:tcBorders>
            <w:shd w:val="clear" w:color="FFFFFF" w:fill="auto"/>
            <w:tcMar/>
            <w:textDirection w:val="lrTb"/>
            <w:vAlign w:val="bottom"/>
          </w:tcPr>
          <w:p>
            <w:pPr>
              <w:wordWrap w:val="1"/>
              <w:jc w:val="both"/>
            </w:pPr>
            <w:r>
              <w:rPr>
                <w:rFonts w:ascii="Times New Roman" w:hAnsi="Times New Roman"/>
                <w:sz w:val="24"/>
                <w:szCs w:val="24"/>
                <w:color w:val="000000"/>
              </w:rPr>
              <w:t>Во время проведения экзамена обучающиеся могут пользоваться программой дисциплины, а также всей необходимой литературой для решения задачи; при ответах на устные вопросы пользоваться литературой запрещено.  </w:t>
            </w:r>
          </w:p>
        </w:tc>
      </w:tr>
    </w:tbl>
    <w:sectPr>
      <w:pgSz w:w="11907" w:h="16839" w:orient="portrait"/>
      <w:pgMar w:top="283" w:right="567" w:bottom="283"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