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Калибровочные теории в физике элементарных частиц</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1</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1(Осенний) - Экзамен</w:t>
            </w: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30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15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15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Подготовка к экзамену: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90, всего зач. ед.: 2</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Количество курсовых работ, заданий: 2</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А.Г. Панин, канд.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2017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калибровочных теорий поля, которые являются основой Стандартной Модели физики элементарных частиц.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теоретико-групповых методов;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техники построения калибровочно-инвариантных теорий поля;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структуры Стандартной Модели физики элементарных частиц;</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методов описания процессов с участием адронов.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«Калибровочные теории в физике элементарных частиц»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«Калибровочные теории в физике элементарных частиц»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Введение в физику элементарных частиц;</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Квантовая теория поля.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«Калибровочные теории в физике элементарных частиц»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Физика нейтрино;</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Дополнительные разделы квантовой теории поля;</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Проблемы теории элементарных частиц и космологии.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структуру и симметрии Стандартной Модели физики элементарных частиц.</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строить калибровочно-инвариантые  теории поля, вычислять вероятности процессов с участием калибровоных бозонов,  а также квази-упругого и глубоко-неупругого рассеяния адронов.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 навыками самостоятельной работы.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Бозонный сектор Стандартной Модели. </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Глобальные симметрии кварков и лептонов.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Калибровочный принцип в электродинамике.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Механизм Хиггса.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Неабелевы калибровочные поля.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От кварков к квантовой хромодинамике.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Процессы с участием адронов. </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Спонтанное нарушение глобальной симметрии.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Фермионный сектор Стандартной Модели.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Фермионы во внешних полях. </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Экспериментальные следствия электрослабого сектора Стандартной Модели.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Элементы теории групп и алгебр Ли.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8</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15</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15</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90 час., 2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1 (Осенний)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Бозонный сектор Стандартной Модели. </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Частичное нарушение калибровочной симметрии: бозонный сектор Стандартной Модели.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Глобальные симметрии кварков и лептонов.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Глобальные симметрии Стандартной Модели. C-, P- и T- преобразования.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Калибровочный принцип в электродинамике.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Действие электромагнитного поля. Калибровочная инвариантность. Выбор калибровки. Клабровончно-инвариантное взаимодействие. Теорема Нетер.</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Механизм Хиггса.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Пример абелевой модели. Неабелев случай: модель с полностью нарушенной SU(2)-симметрией.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Неабелевы калибровочные поля.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Неабелевы глобальные симметрии. Неабелева калибровочная инвариантность и калибровочные поля на примере группы SU(2). Обобщение на другие группы. Уравнения поля. Задача Коши и условия калибровки.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От кварков к квантовой хромодинамике.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Свойства сильных взаимодействий. Асимптотическая свобода и режим сильной связи. Связанные состояния. Конфайнмент. Легкие кварки. Тяжелые кварки. Киральная симметрия.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Процессы с участием адронов. </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Квази-упругое рассеяние. Глубого-неупругое рассеяние: партоны. Мягкое неупругое рассеяние: мезоны малой энергии. Смешивание нейтральных мезонов.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Спонтанное нарушение глобальной симметрии.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Спонтанное нарушение дискретной симметрии. Спонтанное нарушение глобальной U(1) симметрии: намбу-голдстоуновский бозон. Частичное нарушение симметрии: модель SO(3). Общий случай. Теорема Голдстоуна.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Фермионный сектор Стандартной Модели.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Фермионный сектор Стандартной Модели.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Фермионы во внешних полях. </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Фермионный сектор Стандартной Модели.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Экспериментальные следствия электрослабого сектора Стандартной Модели.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Электрон-позитронная аннигиляция в адроны. Процессы в t-канале: кроссинг-симметрия. Интерференция: рассеяние Мёллера.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Элементы теории групп и алгебр Ли.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Группы и алгебры Ли. Представления групп и алгебр Ли. Компактные группы и алгебры Ли.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В.А. Рубаков. Классические калибровочные поля. Бозонные теории. - М.: КомКнига, 2005.</w:t>
              <w:br/>
              <w:t>
2.	В.А. Рубаков. Классические калибровочные поля. Теории с фермионами. Некоммутативные теории. - М.: КомКнига, 2005.</w:t>
              <w:br/>
              <w:t>
3.	C.Burgess, G. Moor. The Standard Model: A Primer. Cambridge University Press, 2007.</w:t>
              <w:br/>
              <w:t>
4.	М.Пескин, Д.Шрёдер. Введение в квантовую теорию поля. Ижевск, НИЦ «Регулярная и  хаотическая динамика», 2001.</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Т.-П. Ченг, Л.-Ф. Ли. Калибровочные теории в физике элементарных частиц. - М.: Мир, 1987.</w:t>
              <w:br/>
              <w:t>
2.	W.N. Cottingham, D.A. Greenwod. An Intoduction to the Standard Model of Particle Physics. Cambridge University Press, 2007.</w:t>
              <w:br/>
              <w:t>
3.	Н.Н.Боголюбов, Д.В.Ширков. Введение в теорию квантованных полей. - М.: Наука, 1984.      </w:t>
              <w:br/>
              <w:t>
4.	Н.Н.Боголюбов, Д.В.Ширков. Введение в теорию квантованных полей. Собрание научных трудов в 12 томах. Квантовая теория. Том 10. Издательство Московского Университета, 2008 г. </w:t>
              <w:br/>
              <w:t>
5.	Ф.Индурайн. Квантовая хромодинамика. Введение в теорию кварков и глюонов. - М.: Мир, 1986.</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П.Рамон, Теория поля.  Современный вводный курс. - М.: Мир, 1984.</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http://inspirehep.net/</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http://xxx.lanl.gov/</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желательно использование сайтов http://xxx.lanl.gov/.</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«Калибровочные теории в физике элементарных частиц»,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основные определения, уверенно</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разбираться в основных разделах теории калибровочных полей, уметь строить калибровочно-инвариантные взаимодействия полей, а также уметь вычислять вероятности процессов в этих теориях. Обучающийся должен уметь применять полученные знания для решения различных задач современной теоретической физики. Изучение теоретического курса должно выполняться самостоятельно каждым студентом по итогам каждой из лекций, результаты контролируются преподавателем на лекционных занятиях, при этом  используются конспект лекций, учебники, рекомендуемые данной программой. По заданию преподавателя решаются задачи, выданные преподавателем по итогам лекционных занятий, используются конспект лекций, учебники, рекомендуемые данной программой, а также сборники задач, включая электронные, учебно-методические пособия.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 доказательство отдельных утверждений, свойств;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практических занятиях,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семинару, экзамену.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теоретические сведения и экспериментальные данные.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занятиям необходимо повторять ранее пройденный материал.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подготовка к практическому занятию, решение задач.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 или преподавателю, ведущему практические занятия.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1</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1(Осенний) - Экзамен</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А.Г. Панин, канд.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«Калибровочные теории в физике элементарных частиц»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структуру и симметрии Стандартной Модели физики элементарных частиц.</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строить калибровочно-инвариантые  теории поля, вычислять вероятности процессов с участием калибровоных бозонов,  а также квази-упругого и глубоко-неупругого рассеяния адронов.</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 навыками самостоятельной работы.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Сдача экзаменов осуществляется в форме доклада по решенным, заранее выданным, задачам повышенной сложности. Примеры зада, входящих в экзаменационные билеты: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Рассмотрим теорию двух действительных скалярных полей с лагранжианом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643" w:type="dxa"/>
            <w:shd w:val="clear" w:color="FFFFFF" w:fill="auto"/>
            <w:textDirection w:val="lrTb"/>
            <w:vAlign w:val="bottom"/>
          </w:tcPr>
          <w:p>
            <w:pPr/>
            <w:pict>
              <v:rect style="position:absolute;margin-left:12pt;margin-top:3pt;width:512pt;height:56pt;z-index:0;" strokecolor="000000" stroked="false" fillcolor="FFFFFF">
                <v:fill r:id="image000.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где</w:t>
            </w:r>
          </w:p>
        </w:tc>
      </w:tr>
      <w:tr>
        <w:trPr>
          <w:trHeight w:val="60" w:hRule="atLeast"/>
        </w:trPr>
        <w:tc>
          <w:tcPr>
            <w:tcW w:w="643" w:type="dxa"/>
            <w:shd w:val="clear" w:color="FFFFFF" w:fill="auto"/>
            <w:textDirection w:val="lrTb"/>
            <w:vAlign w:val="bottom"/>
          </w:tcPr>
          <w:p>
            <w:pPr/>
            <w:pict>
              <v:rect style="position:absolute;margin-left:12pt;margin-top:3pt;width:512pt;height:56pt;z-index:1;" strokecolor="000000" stroked="false" fillcolor="FFFFFF">
                <v:fill r:id="image001.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w:t>
            </w:r>
          </w:p>
        </w:tc>
      </w:tr>
      <w:tr>
        <w:trPr>
          <w:trHeight w:val="60" w:hRule="atLeast"/>
        </w:trPr>
        <w:tc>
          <w:tcPr>
            <w:tcW w:w="643" w:type="dxa"/>
            <w:shd w:val="clear" w:color="FFFFFF" w:fill="auto"/>
            <w:textDirection w:val="lrTb"/>
            <w:vAlign w:val="bottom"/>
          </w:tcPr>
          <w:p>
            <w:pPr/>
            <w:pict>
              <v:rect style="position:absolute;margin-left:12pt;margin-top:3pt;width:512pt;height:56pt;z-index:2;" strokecolor="000000" stroked="false" fillcolor="FFFFFF">
                <v:fill r:id="image002.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причем </w:t>
            </w:r>
          </w:p>
        </w:tc>
      </w:tr>
      <w:tr>
        <w:trPr>
          <w:trHeight w:val="60" w:hRule="atLeast"/>
        </w:trPr>
        <w:tc>
          <w:tcPr>
            <w:tcW w:w="643" w:type="dxa"/>
            <w:shd w:val="clear" w:color="FFFFFF" w:fill="auto"/>
            <w:textDirection w:val="lrTb"/>
            <w:vAlign w:val="bottom"/>
          </w:tcPr>
          <w:p>
            <w:pPr/>
            <w:pict>
              <v:rect style="position:absolute;margin-left:12pt;margin-top:3pt;width:512pt;height:56pt;z-index:3;" strokecolor="000000" stroked="false" fillcolor="FFFFFF">
                <v:fill r:id="image003.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малый параметр, U нетривиально зависит только от компоненты </w:t>
            </w:r>
          </w:p>
        </w:tc>
      </w:tr>
      <w:tr>
        <w:trPr>
          <w:trHeight w:val="60" w:hRule="atLeast"/>
        </w:trPr>
        <w:tc>
          <w:tcPr>
            <w:tcW w:w="643" w:type="dxa"/>
            <w:shd w:val="clear" w:color="FFFFFF" w:fill="auto"/>
            <w:textDirection w:val="lrTb"/>
            <w:vAlign w:val="bottom"/>
          </w:tcPr>
          <w:p>
            <w:pPr/>
            <w:pict>
              <v:rect style="position:absolute;margin-left:12pt;margin-top:3pt;width:512pt;height:56pt;z-index:4;" strokecolor="000000" stroked="false" fillcolor="FFFFFF">
                <v:fill r:id="image004.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Часть </w:t>
            </w:r>
          </w:p>
        </w:tc>
      </w:tr>
      <w:tr>
        <w:trPr>
          <w:trHeight w:val="60" w:hRule="atLeast"/>
        </w:trPr>
        <w:tc>
          <w:tcPr>
            <w:tcW w:w="643" w:type="dxa"/>
            <w:shd w:val="clear" w:color="FFFFFF" w:fill="auto"/>
            <w:textDirection w:val="lrTb"/>
            <w:vAlign w:val="bottom"/>
          </w:tcPr>
          <w:p>
            <w:pPr/>
            <w:pict>
              <v:rect style="position:absolute;margin-left:12pt;margin-top:3pt;width:512pt;height:56pt;z-index:5;" strokecolor="000000" stroked="false" fillcolor="FFFFFF">
                <v:fill r:id="image005.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полного лагранжиана инвариантна относительно глобальной</w:t>
            </w:r>
          </w:p>
        </w:tc>
      </w:tr>
      <w:tr>
        <w:trPr>
          <w:trHeight w:val="60" w:hRule="atLeast"/>
        </w:trPr>
        <w:tc>
          <w:tcPr>
            <w:tcW w:w="643" w:type="dxa"/>
            <w:shd w:val="clear" w:color="FFFFFF" w:fill="auto"/>
            <w:textDirection w:val="lrTb"/>
            <w:vAlign w:val="bottom"/>
          </w:tcPr>
          <w:p>
            <w:pPr/>
            <w:pict>
              <v:rect style="position:absolute;margin-left:12pt;margin-top:3pt;width:512pt;height:56pt;z-index:6;" strokecolor="000000" stroked="false" fillcolor="FFFFFF">
                <v:fill r:id="image006.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симметрии.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Найти основное состояние, сохраняющийся ток и намбу-голдстоуновскую моду при</w:t>
            </w:r>
          </w:p>
        </w:tc>
      </w:tr>
      <w:tr>
        <w:trPr>
          <w:trHeight w:val="60" w:hRule="atLeast"/>
        </w:trPr>
        <w:tc>
          <w:tcPr>
            <w:tcW w:w="643" w:type="dxa"/>
            <w:shd w:val="clear" w:color="FFFFFF" w:fill="auto"/>
            <w:textDirection w:val="lrTb"/>
            <w:vAlign w:val="bottom"/>
          </w:tcPr>
          <w:p>
            <w:pPr/>
            <w:pict>
              <v:rect style="position:absolute;margin-left:12pt;margin-top:3pt;width:512pt;height:56pt;z-index:7;" strokecolor="000000" stroked="false" fillcolor="FFFFFF">
                <v:fill r:id="image007.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Найти легчайшую моду и ее массу при </w:t>
            </w:r>
          </w:p>
        </w:tc>
      </w:tr>
      <w:tr>
        <w:trPr>
          <w:trHeight w:val="60" w:hRule="atLeast"/>
        </w:trPr>
        <w:tc>
          <w:tcPr>
            <w:tcW w:w="643" w:type="dxa"/>
            <w:shd w:val="clear" w:color="FFFFFF" w:fill="auto"/>
            <w:textDirection w:val="lrTb"/>
            <w:vAlign w:val="bottom"/>
          </w:tcPr>
          <w:p>
            <w:pPr/>
            <w:pict>
              <v:rect style="position:absolute;margin-left:12pt;margin-top:3pt;width:512pt;height:56pt;z-index:8;" strokecolor="000000" stroked="false" fillcolor="FFFFFF">
                <v:fill r:id="image008.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главном порядке по </w:t>
            </w:r>
          </w:p>
        </w:tc>
      </w:tr>
      <w:tr>
        <w:trPr>
          <w:trHeight w:val="60" w:hRule="atLeast"/>
        </w:trPr>
        <w:tc>
          <w:tcPr>
            <w:tcW w:w="643" w:type="dxa"/>
            <w:shd w:val="clear" w:color="FFFFFF" w:fill="auto"/>
            <w:textDirection w:val="lrTb"/>
            <w:vAlign w:val="bottom"/>
          </w:tcPr>
          <w:p>
            <w:pPr/>
            <w:pict>
              <v:rect style="position:absolute;margin-left:12pt;margin-top:3pt;width:512pt;height:56pt;z-index:9;" strokecolor="000000" stroked="false" fillcolor="FFFFFF">
                <v:fill r:id="image009.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(такую моду называют псевдоголдстоуновской).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Найти связь между четырехдивергенцией тока, построенного в п. 1), с псевдогольдстоуновской модой в низшем порядке по полям отклонений от основного состояния и в низшем нетривиальном порядке по</w:t>
            </w:r>
          </w:p>
        </w:tc>
      </w:tr>
      <w:tr>
        <w:trPr>
          <w:trHeight w:val="60" w:hRule="atLeast"/>
        </w:trPr>
        <w:tc>
          <w:tcPr>
            <w:tcW w:w="643" w:type="dxa"/>
            <w:shd w:val="clear" w:color="FFFFFF" w:fill="auto"/>
            <w:textDirection w:val="lrTb"/>
            <w:vAlign w:val="bottom"/>
          </w:tcPr>
          <w:p>
            <w:pPr/>
            <w:pict>
              <v:rect style="position:absolute;margin-left:12pt;margin-top:3pt;width:512pt;height:56pt;z-index:10;" strokecolor="000000" stroked="false" fillcolor="FFFFFF">
                <v:fill r:id="image010.png" Type="frame"/>
              </v:rect>
            </w:pict>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696" w:type="dxa"/>
            <w:gridSpan w:val="10"/>
            <w:shd w:val="clear" w:color="FFFFFF" w:fill="auto"/>
            <w:tcMar/>
            <w:textDirection w:val="lrTb"/>
            <w:vAlign w:val="bottom"/>
          </w:tcPr>
          <w:p>
            <w:pPr>
              <w:wordWrap w:val="1"/>
              <w:jc w:val="both"/>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экзамена обучающемуся предоставляется не менее 45 минут на подготовку. Опрос обучающегося по билету на устном экзамене не должен превышает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экзамена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 Id="image002.png" Type="http://schemas.openxmlformats.org/officeDocument/2006/relationships/image" Target="media/image002.png"/>
	<Relationship Id="image004.png" Type="http://schemas.openxmlformats.org/officeDocument/2006/relationships/image" Target="media/image004.png"/>
	<Relationship Id="image007.png" Type="http://schemas.openxmlformats.org/officeDocument/2006/relationships/image" Target="media/image007.png"/>
	<Relationship Id="image009.png" Type="http://schemas.openxmlformats.org/officeDocument/2006/relationships/image" Target="media/image009.png"/>
	<Relationship Id="image001.png" Type="http://schemas.openxmlformats.org/officeDocument/2006/relationships/image" Target="media/image001.png"/>
	<Relationship Id="image006.png" Type="http://schemas.openxmlformats.org/officeDocument/2006/relationships/image" Target="media/image006.png"/>
	<Relationship Id="image008.png" Type="http://schemas.openxmlformats.org/officeDocument/2006/relationships/image" Target="media/image008.png"/>
	<Relationship Id="image005.png" Type="http://schemas.openxmlformats.org/officeDocument/2006/relationships/image" Target="media/image005.png"/>
	<Relationship Id="image010.png" Type="http://schemas.openxmlformats.org/officeDocument/2006/relationships/image" Target="media/image010.png"/>
	<Relationship Id="image000.png" Type="http://schemas.openxmlformats.org/officeDocument/2006/relationships/image" Target="media/image000.png"/>
	<Relationship Id="image003.png" Type="http://schemas.openxmlformats.org/officeDocument/2006/relationships/image" Target="media/image003.png"/>
</Relationships>
</file>