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Прохождение заряженных частиц и квантов света через вещество</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Прикладные математика и физика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3</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5(Осенний) - Дифференцированный зачет</w:t>
            </w: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30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15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45, всего зач. ед.: 1</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В.Л. Матушко</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2018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физических основ прохождения излучения через вещество;</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приобретение навыков использовании полученных знаний в исследовательской работе.</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студентами базовых знаний в области прохождения излучения через вещество;</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приобретение теоретических знаний в области изучения прохождения тяжелых заряженных частиц, бета-частиц и фотонов через вещество;</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оказание консультаций и помощи студентам в проведении собственных теоретических и ориентированных на практическое применение исследований в области прохождения излучения через вещество;</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приобретение навыков применения полученных знаний в смежных и междисциплинарных научных областях.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«Прохождение заряженных частиц и квантов света через вещество»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«Прохождение заряженных частиц и квантов света через вещество»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Математика;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Физика.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«Прохождение заряженных частиц и квантов света через вещество»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Основы экспериментальной физики элементарных частиц;</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Методы детектирования нейтрино и нейтринная астрофизика;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Позиционно-чувствительные детекторы на основе полупроводниковых фотоприемников;</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Экспериментальная ядерная физика.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полученные знания для анализа систем, процессов и методов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и применять подходящее оборудование, инструменты и методы исследований для решения задач в избранной предметной области (ПК-3);</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критически оценивать применимость применяемых методик и методов (ПК-4).</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фундаментальные понятия, законы, теории классической и современной физики;</w:t>
              <w:br/>
              <w:t>
	порядки численных величин, характерные для различных разделов физики;</w:t>
              <w:br/>
              <w:t>
	современные проблемы физики и математики;</w:t>
              <w:br/>
              <w:t>
	общие подходы к решению прикладных и теоретических задач прохождения заряженных частиц и квантов света через вещество.</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абстрагироваться от несущественного при моделировании реальных физических ситуаций;</w:t>
              <w:br/>
              <w:t>
	пользоваться своими знаниями для решения фундаментальных и прикладных задач и технологических задач;</w:t>
              <w:br/>
              <w:t>
	делать правильные выводы из сопоставления результатов теории и эксперимента;</w:t>
              <w:br/>
              <w:t>
	производить численные оценки по порядку величины;</w:t>
              <w:br/>
              <w:t>
	делать качественные выводы при переходе к предельным условиям в изучаемых проблемах;</w:t>
              <w:br/>
              <w:t>
	видеть в технических задачах физическое содержание;</w:t>
              <w:br/>
              <w:t>
	осваивать новые предметные области, теоретические подходы и экспериментальные методики;</w:t>
              <w:br/>
              <w:t>
	эффективно использовать полученные знания, имеющиеся методы решения задач прохождения заряженных частиц и квантов света через вещество для достижения необходимых теоретических и прикладных результатов.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освоения большого объема информации;</w:t>
              <w:br/>
              <w:t>
	навыками самостоятельной работы в лаборатории и Интернете;</w:t>
              <w:br/>
              <w:t>
	культурой постановки и моделирования физических задач;</w:t>
              <w:br/>
              <w:t>
	навыками грамотной обработки результатов опыта и сопоставления с теоретическими данными;</w:t>
              <w:br/>
              <w:t>
	практикой исследования и решения теоретических и прикладных задач;</w:t>
              <w:br/>
              <w:t>
	навыками теоретического анализа реальных задач, связанных с прохождением заряженных частиц и квантов света через вещество.</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Удельные ионизационные потери.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Зависимость пробег-энергия.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Дельта-электроны. Связь потерь энергии с ионизацией.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Многократное кулоновское рассеяние.</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Флуктуации потерь энергии.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Методы детектирования заряженных частиц.</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Удельные ионизационные потери.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Радиационное торможение электронов.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Черенковское рассеяние.</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10</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Многократное кулоновское рассеяние электронов.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Флуктуации потерь энергии.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Поглощение гамма-лучей.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Рассеяние гамма-лучей.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Образование пар.</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Общий характер взаимодействия фотонов со средой.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Электронно-фотонные ливни.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15</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45 час., 1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5 (Осенний)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Удельные ионизационные потери.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Классический и кватовомеханический  подход к проблеме ионизационного торможения тяжелых заряженных частиц. Вывод формулы Бора и формулы Бете-Блоха.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Зависимость пробег-энергия.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Средний пробег, экстраполированный пробег, разброс пробегов. Полуэмпирические формулы пробегов.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Дельта-электроны. Связь потерь энергии с ионизацией.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Получение энергетического спектра дельта-электронов. Первичная, вторичная и полная ионизация.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Многократное кулоновское рассеяние.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Формула Резерфорда. Средний угол рассеяния и его связь со средним смещением.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Флуктуации потерь энергии.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Причины флуктуаций. Пределы применимости распределений Ландау, Вавилова и гауссовского.</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Методы детектирования заряженных частиц.</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Обзор методов детектирования и их связь с ионизационными потерями энергии.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Удельные ионизационные потери.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Формулы  удельных ионизационных потерь бета-частиц. Учет тождественности частиц. Формулы Мота.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Радиационное торможение электронов.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Тормозное излучение электронов. Радиационная единица, критическая энергия.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Черенковское рассеяние.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Черенковское рассеяние. Вывод формулы для угла излучения.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Многократное кулоновское рассеяние электронов.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Формула Резерфорда для электронов. Многократное кулоновское рассеяние электронов.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Флуктуации потерь энергии.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Флуктуации потерь энергии электронов. Прохождение через фольги.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Поглощение гамма-лучей.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Фотоэффект. Рентгеновское излучение, электроны Оже.</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Рассеяние гамма-лучей.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Томсоновское рассеяние. Комптоновское рассеяние.</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Образование пар.</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Образование электрон-позитронных пар.</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Общий характер взаимодействия фотонов со средой.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Полное сечение поглощения. Понятие об альбедо.</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Электронно-фотонные ливни.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Электронно-фотонные ливни. Введение в физику космических лучей. Атмосферные ливни.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Учебная аудитория, оснащенная мультимедиапроектором и экраном, доской.</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Ландау Л.Д., Лифшиц Е.М. Квантовая механика. Физматлит, 2004. </w:t>
              <w:br/>
              <w:t>
2.	Ландау Л.Д., Лифшиц Е.М. Теория поля. Физматлит, 2012. </w:t>
              <w:br/>
              <w:t>
3.	Новиков Г.И. Введение в ядерную физику. НИЦ Регулярная и хаотическая динамика, 2004.</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Бете Г.А. , Ашкин Ю. Прохождение излучения через вещество., сборник “Экспериментальная ядерная физика”  стр.141-297, том 1,.М.,И*Л, 1955.</w:t>
              <w:br/>
              <w:t>
2.	Мухин К.Н. Введение в ядерную физику. М.: Атомиздат, 1965.</w:t>
              <w:br/>
              <w:t>
3.	Ремизович В.С., Рогозкин Д.Б., Рязанов М.И. Флуктуации пробегов заряженных частиц. М. Энергоатомиздат, 1988.</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Мухин К.Н. Введение в ядерную физику. М.: Атомиздат, 1965.</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http://www.edu.ru – федеральный портал «Российское образование».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http://benran.ru –библиотека по естественным наукам Российской академии наук.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используются мультимедийные технологии, включая демонстрацию презентаций. В процессе самостоятельной работы обучающихся возможно использование таких программных средств, как Mathcad, Scilab и др.</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10.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«Прохождение заряженных частиц и квантов света через вещество», должен, с одной стороны, овладеть общим понятийным аппаратом, а с другой стороны, должен научиться применять теоретические знания на практике.В результате изучения дисциплины студент должен знать порядки численных величин, характерные для различных разделов физики, общие подходы к решению прикладных и теоретических задач прохождения заряженных частиц и квантов света через вещество. Студент должен уметь абстрагироваться от несущественного при моделировании реальных физических ситуаций, производить численные оценки по порядку величины, осваивать новые предметные области, теоретические подходы и экспериментальные методики; он также должен уметь эффективно использовать полученные знания, имеющиеся методы решения задач прохождения заряженных частиц и квантов света через вещество для достижения необходимых теоретических и прикладных результатов. Обучающийся должен овладеть навыками грамотной обработки результатов опыта и сопоставления с теоретическими данными практикой исследования и решения теоретических и прикладных задач, а также навыками теоретического анализа реальных задач, связанных с прохождением заряженных частиц и квантов света через вещество.</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 доказательство отдельных утверждений, свойств;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 на лекциях;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 дифференцированному зачёту.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за самостоятельной работой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теоретические сведения.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подготовке к практическим занятиям необходимо повторять ранее изученные основные определения, формулировки теорем. В начале занятия, как правило, проводится короткий (10-15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вопросы, предназначенных для самостоятельного изучения (1 час неделю.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 или преподавателю, ведущему практические занятия.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Обязательным требованием является выполнение домашних работ, которые оформляются в специально отведённой для этого тетради и систематически сдаются на проверку.</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11.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Прикладные математика и физика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3</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5(Осенний) - Дифференцированный зачет</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В.Л. Матушко</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полученные знания для анализа систем, процессов и методов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и применять подходящее оборудование, инструменты и методы исследований для решения задач в избранной предметной области (ПК-3);</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критически оценивать применимость применяемых методик и методов (ПК-4).</w:t>
            </w: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«Прохождение заряженных частиц и квантов света через вещество»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фундаментальные понятия, законы, теории классической и современной физики;</w:t>
              <w:br/>
              <w:t>
	порядки численных величин, характерные для различных разделов физики;</w:t>
              <w:br/>
              <w:t>
	современные проблемы физики и математики;</w:t>
              <w:br/>
              <w:t>
	общие подходы к решению прикладных и теоретических задач прохождения заряженных частиц и квантов света через вещество.</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абстрагироваться от несущественного при моделировании реальных физических ситуаций;</w:t>
              <w:br/>
              <w:t>
	пользоваться своими знаниями для решения фундаментальных и прикладных задач и технологических задач;</w:t>
              <w:br/>
              <w:t>
	делать правильные выводы из сопоставления результатов теории и эксперимента;</w:t>
              <w:br/>
              <w:t>
	производить численные оценки по порядку величины;</w:t>
              <w:br/>
              <w:t>
	делать качественные выводы при переходе к предельным условиям в изучаемых проблемах;</w:t>
              <w:br/>
              <w:t>
	видеть в технических задачах физическое содержание;</w:t>
              <w:br/>
              <w:t>
	осваивать новые предметные области, теоретические подходы и экспериментальные методики;</w:t>
              <w:br/>
              <w:t>
	эффективно использовать полученные знания, имеющиеся методы решения задач прохождения заряженных частиц и квантов света через вещество для достижения необходимых теоретических и прикладных результатов.</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освоения большого объема информации;</w:t>
              <w:br/>
              <w:t>
	навыками самостоятельной работы в лаборатории и Интернете;</w:t>
              <w:br/>
              <w:t>
	культурой постановки и моделирования физических задач;</w:t>
              <w:br/>
              <w:t>
	навыками грамотной обработки результатов опыта и сопоставления с теоретическими данными;</w:t>
              <w:br/>
              <w:t>
	практикой исследования и решения теоретических и прикладных задач;</w:t>
              <w:br/>
              <w:t>
	навыками теоретического анализа реальных задач, связанных с прохождением заряженных частиц и квантов света через вещество.</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Промежуточная аттестация по дисциплине «Прохождение заряженных частиц и квантов света через вещество» осуществляется в форме дифференцированного зачета. Дифференцированный зачет проводится в устной форме.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Перечень контрольных вопросов: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Удельные ионизационные потери тяжелых заряженных частиц. Классический под ход. Формула Бора и ее область применения.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Удельные ионизационные потери тяжелых заряженных частиц. Квантовомеханический подход. Формула Бете-Блоха.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Зависимость пробег-энергия для тяжелых заряженных частиц. Связь между средним и экстраполированным пробегом, разброс пробегов.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Дельта-электроны.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Связь потерь энергии тяжелых заряженных частиц с ионизацией среды.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Упругое рассеяние тяжелых заряженных частиц на атомах. Формула Резерфорда.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Многократное кулоновское рассеяние тяжелых заряженных частиц.</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Флуктуации потерь энергии тяжелых заряженных частиц.</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Удельные ионизационные потери бета-частиц. Формулы Мота.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Тормозное излучение электронов. Радиационная единица, критическая энергия.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Черенковское рассеяние. Вывод формулы для угла излучения.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Многократное кулоновское рассеяние электронов.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Флуктуации потерь энергии электронов. Прохождение через фольги.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Фотоэффект. Рентгеновское излучение, электроны Оже.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Томсоновское рассеяние.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Комптоновское рассеяние.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17.	Образование электрон-позитронных пар.</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18.	Общий характер взаимодействия фотонов со средой.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19.	Электронно-фотонные ливни.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па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(1)» выставляется студенту, не ответившему на заданные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«зачтено» выставляется студенту, если по десятибалльной шкале его знания оцениваются не ниже «удовлетворительно»; оценка «не зачтено» выставляется обучающемуся в противном случае.</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дифференцированного зачета обучающемуся предоставляется не менее 45 минут на подготовку. Опрос обучающегося по билету на дифференцированном зачете не должен превышает двух астрономических часов.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 время проведения дифференцированного зачета обучающиеся могут пользоваться программой дисциплины, а также всей необходимой литературой для решения задачи; при ответах на устные вопросы пользоваться литературой запрещено.  </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