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6" w:rsidRPr="00851726" w:rsidRDefault="00851726" w:rsidP="0085172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851726">
        <w:rPr>
          <w:b/>
          <w:bCs/>
          <w:color w:val="000000"/>
        </w:rPr>
        <w:t>Важнейшие достижения Института ядерных исследований Российской</w:t>
      </w:r>
      <w:r w:rsidR="003943C3">
        <w:rPr>
          <w:b/>
          <w:bCs/>
          <w:color w:val="000000"/>
        </w:rPr>
        <w:t xml:space="preserve"> академии наук в 1 квартале 202</w:t>
      </w:r>
      <w:r w:rsidR="003943C3">
        <w:rPr>
          <w:b/>
          <w:bCs/>
          <w:color w:val="000000"/>
          <w:lang w:val="en-US"/>
        </w:rPr>
        <w:t>1</w:t>
      </w:r>
      <w:r w:rsidRPr="00851726">
        <w:rPr>
          <w:b/>
          <w:bCs/>
          <w:color w:val="000000"/>
        </w:rPr>
        <w:t xml:space="preserve"> года</w:t>
      </w:r>
    </w:p>
    <w:p w:rsidR="00767F45" w:rsidRPr="006C3985" w:rsidRDefault="00851726" w:rsidP="006C3985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Института в первом квартале опубликовано </w:t>
      </w:r>
      <w:r w:rsidR="003A1425" w:rsidRPr="003A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стат</w:t>
      </w:r>
      <w:r w:rsidR="003A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высокорейтинговых журналах и </w:t>
      </w:r>
      <w:r w:rsidR="003A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сборниках 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на международных конференциях. Наиболее важные достижения перечислены ниже</w:t>
      </w:r>
    </w:p>
    <w:p w:rsidR="00767F45" w:rsidRPr="00767F45" w:rsidRDefault="00767F45" w:rsidP="006C3985">
      <w:pPr>
        <w:ind w:firstLine="567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Впервые измерены спиновые асимметрии в фоторождении </w:t>
      </w:r>
      <w:r w:rsidRPr="00767F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π</w:t>
      </w:r>
      <w:r w:rsidRPr="00767F45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perscript"/>
        </w:rPr>
        <w:t>0</w:t>
      </w:r>
      <w:r w:rsidRPr="00767F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мезонов на квазисвободных нейтронах.</w:t>
      </w:r>
    </w:p>
    <w:p w:rsidR="00767F45" w:rsidRPr="00EB607C" w:rsidRDefault="00767F45" w:rsidP="006C39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Международной коллаборацией А2 </w:t>
      </w:r>
      <w:r w:rsidRPr="00F5739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пучке линейно поляризованных фотонов ускорителя</w:t>
      </w:r>
      <w:r w:rsidRPr="00F57391">
        <w:rPr>
          <w:rFonts w:ascii="Times New Roman" w:hAnsi="Times New Roman" w:cs="Times New Roman"/>
          <w:sz w:val="24"/>
          <w:szCs w:val="24"/>
        </w:rPr>
        <w:t xml:space="preserve"> МАМИ (Германия) </w:t>
      </w:r>
      <w:r>
        <w:rPr>
          <w:rFonts w:ascii="Times New Roman" w:hAnsi="Times New Roman" w:cs="Times New Roman"/>
          <w:sz w:val="24"/>
          <w:szCs w:val="24"/>
        </w:rPr>
        <w:t xml:space="preserve">с участием ученых из ИЯИ РАН проведены первые в мире измерения спиновых асимметрий фоторождения </w:t>
      </w:r>
      <w:r w:rsidRPr="007C6B5F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7C6B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7C6B5F">
        <w:rPr>
          <w:rFonts w:ascii="Times New Roman" w:hAnsi="Times New Roman" w:cs="Times New Roman"/>
          <w:color w:val="000000"/>
          <w:sz w:val="24"/>
          <w:szCs w:val="24"/>
        </w:rPr>
        <w:t xml:space="preserve"> мезонов на квазисвободных нейтронах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связанных в дейтроне, в диапазоне энергий 390-610 МэВ </w:t>
      </w:r>
      <w:r w:rsidRPr="00CB3189">
        <w:rPr>
          <w:rFonts w:ascii="Times New Roman" w:hAnsi="Times New Roman" w:cs="Times New Roman"/>
          <w:color w:val="000000"/>
          <w:sz w:val="24"/>
          <w:szCs w:val="24"/>
        </w:rPr>
        <w:t>[1]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экспериментах использовалась детектирующая система, состоящая из калориметров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Crystal</w:t>
      </w:r>
      <w:r w:rsidRPr="00EB6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Ball</w:t>
      </w:r>
      <w:r w:rsidRPr="00EB6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TAPS</w:t>
      </w:r>
      <w:r>
        <w:rPr>
          <w:rFonts w:ascii="Times New Roman" w:hAnsi="Times New Roman" w:cs="Times New Roman"/>
          <w:color w:val="000000"/>
          <w:sz w:val="24"/>
          <w:szCs w:val="24"/>
        </w:rPr>
        <w:t>. Вылетающие пионы регистрировались в интервале углов 49-148̊.  В этой кинематической области поляризационные наблюдаемые чувствительны к вкладам резонансов Δ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(1232)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(1440). Получено хорошее согласие с теоретическими расчетами в рамках мультипольного анализа.</w:t>
      </w:r>
    </w:p>
    <w:p w:rsidR="00767F45" w:rsidRPr="00A245FA" w:rsidRDefault="00767F45" w:rsidP="00767F45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45FA">
        <w:rPr>
          <w:rFonts w:ascii="Times New Roman" w:hAnsi="Times New Roman" w:cs="Times New Roman"/>
          <w:sz w:val="24"/>
          <w:szCs w:val="24"/>
          <w:lang w:val="en-US"/>
        </w:rPr>
        <w:t xml:space="preserve">C.Mullen et al. (A2 collaboration at MAMI).  Single </w:t>
      </w:r>
      <w:r w:rsidRPr="00A245FA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A245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0</w:t>
      </w:r>
      <w:r w:rsidRPr="00A245FA">
        <w:rPr>
          <w:rFonts w:ascii="Times New Roman" w:hAnsi="Times New Roman" w:cs="Times New Roman"/>
          <w:sz w:val="24"/>
          <w:szCs w:val="24"/>
          <w:lang w:val="en-US"/>
        </w:rPr>
        <w:t xml:space="preserve"> production off neutrons bound in deuteron with linearly polarized photons. </w:t>
      </w:r>
      <w:r w:rsidRPr="00A245FA">
        <w:rPr>
          <w:rFonts w:ascii="Times New Roman" w:hAnsi="Times New Roman" w:cs="Times New Roman"/>
          <w:sz w:val="24"/>
          <w:szCs w:val="24"/>
        </w:rPr>
        <w:t xml:space="preserve">Eur. J. Phys. (2021) в печати, </w:t>
      </w:r>
      <w:r w:rsidRPr="00A245FA">
        <w:rPr>
          <w:rFonts w:ascii="Times New Roman" w:hAnsi="Times New Roman" w:cs="Times New Roman"/>
          <w:sz w:val="24"/>
          <w:szCs w:val="24"/>
          <w:lang w:val="en-US"/>
        </w:rPr>
        <w:t>ArXiv:2103.08400.</w:t>
      </w:r>
    </w:p>
    <w:p w:rsidR="00767F45" w:rsidRDefault="00767F45" w:rsidP="00767F4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10834" cy="4128710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630" cy="449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Рис. 1. </w:t>
      </w:r>
    </w:p>
    <w:p w:rsid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Дифференциальное сечение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dσ</w:t>
      </w:r>
      <w:r w:rsidRPr="00575A1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dΩ</w:t>
      </w:r>
      <w:r w:rsidRPr="0057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спиновые асимметрии ∑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7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A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17A2">
        <w:rPr>
          <w:rFonts w:ascii="Times New Roman" w:hAnsi="Times New Roman" w:cs="Times New Roman"/>
          <w:color w:val="000000"/>
          <w:sz w:val="24"/>
          <w:szCs w:val="24"/>
        </w:rPr>
        <w:t xml:space="preserve">точки –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эксперимент, кривые – расчет в рамках мультипольного анализа).</w:t>
      </w:r>
    </w:p>
    <w:p w:rsidR="003A1425" w:rsidRDefault="003A142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Pr="006C3985" w:rsidRDefault="003A1425" w:rsidP="006C3985">
      <w:pPr>
        <w:pStyle w:val="a7"/>
        <w:spacing w:after="0" w:line="259" w:lineRule="auto"/>
        <w:jc w:val="center"/>
        <w:rPr>
          <w:rFonts w:ascii="Times New Roman" w:eastAsiaTheme="minorHAnsi" w:hAnsi="Times New Roman" w:cs="Times New Roman"/>
          <w:b/>
          <w:i/>
          <w:iCs/>
          <w:kern w:val="0"/>
          <w:lang w:eastAsia="en-US" w:bidi="ar-SA"/>
        </w:rPr>
      </w:pPr>
      <w:r w:rsidRPr="006C3985">
        <w:rPr>
          <w:rFonts w:ascii="Times New Roman" w:eastAsiaTheme="minorHAnsi" w:hAnsi="Times New Roman" w:cs="Times New Roman"/>
          <w:b/>
          <w:i/>
          <w:iCs/>
          <w:kern w:val="0"/>
          <w:lang w:eastAsia="en-US" w:bidi="ar-SA"/>
        </w:rPr>
        <w:lastRenderedPageBreak/>
        <w:t>В</w:t>
      </w:r>
      <w:r w:rsidR="008225F2" w:rsidRPr="006C3985">
        <w:rPr>
          <w:rFonts w:ascii="Times New Roman" w:eastAsiaTheme="minorHAnsi" w:hAnsi="Times New Roman" w:cs="Times New Roman"/>
          <w:b/>
          <w:i/>
          <w:iCs/>
          <w:kern w:val="0"/>
          <w:lang w:eastAsia="en-US" w:bidi="ar-SA"/>
        </w:rPr>
        <w:t xml:space="preserve"> эксперименте TALE измерен химический состав космических лучей в диапазоне энергий от 2 ПэВ до 2 ЭэВ.</w:t>
      </w:r>
    </w:p>
    <w:p w:rsidR="00353998" w:rsidRPr="006C3985" w:rsidRDefault="00353998" w:rsidP="008225F2">
      <w:pPr>
        <w:pStyle w:val="a7"/>
        <w:spacing w:after="0" w:line="331" w:lineRule="auto"/>
        <w:jc w:val="both"/>
        <w:rPr>
          <w:rFonts w:ascii="Times New Roman" w:eastAsiaTheme="minorHAnsi" w:hAnsi="Times New Roman" w:cstheme="minorBidi"/>
          <w:b/>
          <w:bCs/>
          <w:i/>
          <w:iCs/>
          <w:kern w:val="0"/>
          <w:sz w:val="18"/>
          <w:szCs w:val="18"/>
          <w:lang w:eastAsia="en-US" w:bidi="ar-SA"/>
        </w:rPr>
      </w:pPr>
    </w:p>
    <w:p w:rsidR="00353998" w:rsidRPr="006C3985" w:rsidRDefault="00353998" w:rsidP="006C3985">
      <w:pPr>
        <w:pStyle w:val="a7"/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C3985">
        <w:rPr>
          <w:rFonts w:ascii="Times New Roman" w:eastAsiaTheme="minorHAnsi" w:hAnsi="Times New Roman" w:cs="Times New Roman"/>
          <w:kern w:val="0"/>
          <w:lang w:eastAsia="en-US" w:bidi="ar-SA"/>
        </w:rPr>
        <w:t>На флуоресцентном телескопе TALE (Telescope Array Low-energy Extension) выполнено измерение состава космических лучей ультравысоких энергий. Используя черенковский свет, испускаемый частицами широкого атмосферного ливня в дополнение к флуоресцентному излучению, в рамках одного эксперимента получен состав космических лучей в рекордно широком диапазоне энергий от 2х1015 эВ до 2х1018 эВ.</w:t>
      </w:r>
    </w:p>
    <w:p w:rsidR="00353998" w:rsidRPr="00353998" w:rsidRDefault="00353998" w:rsidP="006C3985">
      <w:pPr>
        <w:pStyle w:val="a7"/>
        <w:spacing w:after="0" w:line="259" w:lineRule="auto"/>
        <w:ind w:firstLine="567"/>
        <w:jc w:val="both"/>
        <w:rPr>
          <w:rFonts w:ascii="Times New Roman" w:eastAsiaTheme="minorHAnsi" w:hAnsi="Times New Roman" w:cstheme="minorBidi"/>
          <w:kern w:val="0"/>
          <w:lang w:eastAsia="en-US" w:bidi="ar-SA"/>
        </w:rPr>
      </w:pPr>
    </w:p>
    <w:p w:rsidR="008225F2" w:rsidRPr="008225F2" w:rsidRDefault="008225F2" w:rsidP="006C3985">
      <w:pPr>
        <w:pStyle w:val="a7"/>
        <w:numPr>
          <w:ilvl w:val="0"/>
          <w:numId w:val="2"/>
        </w:numPr>
        <w:spacing w:after="0" w:line="259" w:lineRule="auto"/>
        <w:ind w:firstLine="567"/>
        <w:jc w:val="both"/>
        <w:rPr>
          <w:rFonts w:ascii="Times New Roman" w:eastAsiaTheme="minorHAnsi" w:hAnsi="Times New Roman" w:cstheme="minorBidi"/>
          <w:kern w:val="0"/>
          <w:lang w:val="en-US" w:eastAsia="en-US" w:bidi="ar-SA"/>
        </w:rPr>
      </w:pPr>
      <w:r>
        <w:rPr>
          <w:rFonts w:ascii="Times New Roman" w:eastAsiaTheme="minorHAnsi" w:hAnsi="Times New Roman" w:cstheme="minorBidi"/>
          <w:kern w:val="0"/>
          <w:lang w:val="en-US" w:eastAsia="en-US" w:bidi="ar-SA"/>
        </w:rPr>
        <w:t>Abbasi et al.</w:t>
      </w:r>
      <w:r w:rsidRPr="008225F2">
        <w:rPr>
          <w:rFonts w:ascii="Times New Roman" w:eastAsiaTheme="minorHAnsi" w:hAnsi="Times New Roman" w:cstheme="minorBidi"/>
          <w:kern w:val="0"/>
          <w:lang w:val="en-US" w:eastAsia="en-US" w:bidi="ar-SA"/>
        </w:rPr>
        <w:t xml:space="preserve"> </w:t>
      </w:r>
      <w:r>
        <w:rPr>
          <w:rFonts w:ascii="Times New Roman" w:eastAsiaTheme="minorHAnsi" w:hAnsi="Times New Roman" w:cstheme="minorBidi"/>
          <w:kern w:val="0"/>
          <w:lang w:val="en-US" w:eastAsia="en-US" w:bidi="ar-SA"/>
        </w:rPr>
        <w:t>[Telescope Array Collaboration]</w:t>
      </w:r>
      <w:r w:rsidRPr="008225F2">
        <w:rPr>
          <w:rFonts w:ascii="Times New Roman" w:eastAsiaTheme="minorHAnsi" w:hAnsi="Times New Roman" w:cstheme="minorBidi"/>
          <w:kern w:val="0"/>
          <w:lang w:val="en-US" w:eastAsia="en-US" w:bidi="ar-SA"/>
        </w:rPr>
        <w:t>, The Cosmic-Ray Composition between 2 PeV and 2 EeV Observed with the TALE Detector in Monocular Mode, Astrophys.</w:t>
      </w:r>
      <w:r w:rsidR="00353998">
        <w:rPr>
          <w:rFonts w:ascii="Times New Roman" w:eastAsiaTheme="minorHAnsi" w:hAnsi="Times New Roman" w:cstheme="minorBidi"/>
          <w:kern w:val="0"/>
          <w:lang w:val="en-US" w:eastAsia="en-US" w:bidi="ar-SA"/>
        </w:rPr>
        <w:t xml:space="preserve"> </w:t>
      </w:r>
      <w:r w:rsidRPr="008225F2">
        <w:rPr>
          <w:rFonts w:ascii="Times New Roman" w:eastAsiaTheme="minorHAnsi" w:hAnsi="Times New Roman" w:cstheme="minorBidi"/>
          <w:kern w:val="0"/>
          <w:lang w:val="en-US" w:eastAsia="en-US" w:bidi="ar-SA"/>
        </w:rPr>
        <w:t>J. 909 (2021) 2, 178</w:t>
      </w:r>
    </w:p>
    <w:p w:rsidR="003A1425" w:rsidRDefault="008225F2" w:rsidP="008225F2">
      <w:pPr>
        <w:pStyle w:val="a7"/>
        <w:spacing w:after="0" w:line="331" w:lineRule="auto"/>
        <w:jc w:val="center"/>
        <w:rPr>
          <w:rFonts w:ascii="Times New Roman" w:eastAsiaTheme="minorHAnsi" w:hAnsi="Times New Roman" w:cstheme="minorBidi"/>
          <w:b/>
          <w:bCs/>
          <w:i/>
          <w:iCs/>
          <w:kern w:val="0"/>
          <w:lang w:eastAsia="en-US" w:bidi="ar-SA"/>
        </w:rPr>
      </w:pPr>
      <w:r w:rsidRPr="008225F2">
        <w:rPr>
          <w:rFonts w:ascii="Times New Roman" w:eastAsiaTheme="minorHAnsi" w:hAnsi="Times New Roman" w:cstheme="minorBidi"/>
          <w:b/>
          <w:bCs/>
          <w:i/>
          <w:iCs/>
          <w:noProof/>
          <w:kern w:val="0"/>
          <w:lang w:eastAsia="ru-RU" w:bidi="ar-SA"/>
        </w:rPr>
        <w:drawing>
          <wp:inline distT="0" distB="0" distL="0" distR="0">
            <wp:extent cx="5229225" cy="441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25" w:rsidRPr="008225F2" w:rsidRDefault="008225F2" w:rsidP="006C3985">
      <w:pPr>
        <w:pStyle w:val="a7"/>
        <w:spacing w:after="0" w:line="259" w:lineRule="auto"/>
        <w:jc w:val="center"/>
        <w:rPr>
          <w:rFonts w:ascii="Times New Roman" w:eastAsiaTheme="minorHAnsi" w:hAnsi="Times New Roman" w:cstheme="minorBidi"/>
          <w:kern w:val="0"/>
          <w:lang w:eastAsia="en-US" w:bidi="ar-SA"/>
        </w:rPr>
      </w:pPr>
      <w:r>
        <w:rPr>
          <w:rFonts w:ascii="Times New Roman" w:eastAsiaTheme="minorHAnsi" w:hAnsi="Times New Roman" w:cstheme="minorBidi"/>
          <w:kern w:val="0"/>
          <w:lang w:eastAsia="en-US" w:bidi="ar-SA"/>
        </w:rPr>
        <w:t xml:space="preserve">Рис. </w:t>
      </w:r>
      <w:r w:rsidR="006C3985">
        <w:rPr>
          <w:rFonts w:ascii="Times New Roman" w:eastAsiaTheme="minorHAnsi" w:hAnsi="Times New Roman" w:cstheme="minorBidi"/>
          <w:kern w:val="0"/>
          <w:lang w:eastAsia="en-US" w:bidi="ar-SA"/>
        </w:rPr>
        <w:t>1</w:t>
      </w:r>
      <w:r>
        <w:rPr>
          <w:rFonts w:ascii="Times New Roman" w:eastAsiaTheme="minorHAnsi" w:hAnsi="Times New Roman" w:cstheme="minorBidi"/>
          <w:kern w:val="0"/>
          <w:lang w:eastAsia="en-US" w:bidi="ar-SA"/>
        </w:rPr>
        <w:t xml:space="preserve">. Средняя атомная масса космических лучей ультравысоких энергий, измеренная в эксперименте </w:t>
      </w:r>
      <w:r>
        <w:rPr>
          <w:rFonts w:ascii="Times New Roman" w:eastAsiaTheme="minorHAnsi" w:hAnsi="Times New Roman" w:cstheme="minorBidi"/>
          <w:kern w:val="0"/>
          <w:lang w:val="en-US" w:eastAsia="en-US" w:bidi="ar-SA"/>
        </w:rPr>
        <w:t>TALE</w:t>
      </w:r>
      <w:r w:rsidRPr="008225F2">
        <w:rPr>
          <w:rFonts w:ascii="Times New Roman" w:eastAsiaTheme="minorHAnsi" w:hAnsi="Times New Roman" w:cstheme="minorBidi"/>
          <w:kern w:val="0"/>
          <w:lang w:eastAsia="en-US" w:bidi="ar-SA"/>
        </w:rPr>
        <w:t>.</w:t>
      </w:r>
    </w:p>
    <w:p w:rsidR="008225F2" w:rsidRDefault="008225F2" w:rsidP="003A1425">
      <w:pPr>
        <w:pStyle w:val="a7"/>
        <w:spacing w:after="0" w:line="331" w:lineRule="auto"/>
        <w:jc w:val="both"/>
        <w:rPr>
          <w:rFonts w:ascii="Times New Roman" w:eastAsiaTheme="minorHAnsi" w:hAnsi="Times New Roman" w:cstheme="minorBidi"/>
          <w:b/>
          <w:bCs/>
          <w:i/>
          <w:iCs/>
          <w:kern w:val="0"/>
          <w:lang w:eastAsia="en-US" w:bidi="ar-SA"/>
        </w:rPr>
      </w:pPr>
    </w:p>
    <w:p w:rsidR="003A1425" w:rsidRDefault="003A1425" w:rsidP="006C3985">
      <w:pPr>
        <w:pStyle w:val="a7"/>
        <w:spacing w:after="0" w:line="259" w:lineRule="auto"/>
        <w:ind w:firstLine="567"/>
        <w:jc w:val="center"/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</w:pPr>
      <w:r w:rsidRPr="006C3985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>Выполнен расчет эффективности метода регистрации аксионоподобных частиц в сверхпроводящем цилиндрическом резонаторе</w:t>
      </w:r>
    </w:p>
    <w:p w:rsidR="006C3985" w:rsidRPr="006C3985" w:rsidRDefault="006C3985" w:rsidP="006C3985">
      <w:pPr>
        <w:pStyle w:val="a7"/>
        <w:spacing w:after="0" w:line="259" w:lineRule="auto"/>
        <w:ind w:firstLine="567"/>
        <w:jc w:val="center"/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</w:pPr>
    </w:p>
    <w:p w:rsidR="003A1425" w:rsidRPr="006C3985" w:rsidRDefault="003A1425" w:rsidP="006C3985">
      <w:pPr>
        <w:pStyle w:val="a7"/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C398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модели аксионной электродинамики был исследован вопрос об излучении аксионоподобных частиц сверхпроводящим цилиндрическим резонатором с двумя модами накачки. С помощью численного моделирования была рассчитана плотность энергии рождённых аксионоподобных частиц для различных пар электромагнитных мод, значений массы аксионоподобной частицы и конфигураций цилиндрического резонатора, что позволило оценить оптимальные условия для производства аксионоподобных частиц. Кроме того, был рассмотрен вопрос детектирования рождённых аксионоподобных частиц </w:t>
      </w:r>
      <w:r w:rsidRPr="006C3985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при помощи отдельного резонатора с магнитным полем и были выведены ограничения на константу связи g_agg  для различных комбинаций мод накачки в зависимости от массы аксионоподобной частицы.</w:t>
      </w:r>
    </w:p>
    <w:p w:rsidR="003A1425" w:rsidRPr="006C3985" w:rsidRDefault="003A1425" w:rsidP="006C3985">
      <w:pPr>
        <w:pStyle w:val="a7"/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A1425" w:rsidRPr="006C3985" w:rsidRDefault="006C3985" w:rsidP="006C3985">
      <w:pPr>
        <w:pStyle w:val="a7"/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67F45">
        <w:rPr>
          <w:rFonts w:ascii="Times New Roman" w:hAnsi="Times New Roman" w:cs="Times New Roman"/>
          <w:color w:val="000000"/>
        </w:rPr>
        <w:t>Публикация</w:t>
      </w:r>
      <w:r w:rsidRPr="006C3985">
        <w:rPr>
          <w:rFonts w:ascii="Times New Roman" w:hAnsi="Times New Roman" w:cs="Times New Roman"/>
          <w:color w:val="000000"/>
          <w:lang w:val="en-US"/>
        </w:rPr>
        <w:t xml:space="preserve">: </w:t>
      </w:r>
      <w:r w:rsidR="003A1425" w:rsidRPr="006C3985">
        <w:rPr>
          <w:rFonts w:ascii="Times New Roman" w:eastAsiaTheme="minorHAnsi" w:hAnsi="Times New Roman" w:cs="Times New Roman"/>
          <w:kern w:val="0"/>
          <w:lang w:val="en-US" w:eastAsia="en-US" w:bidi="ar-SA"/>
        </w:rPr>
        <w:t xml:space="preserve">D.Salnikov, P.Satunin, D.Kirpichnikov, M.Fitkevich. “Examining axion-like particles with superconducting radio-frequency cavity”. </w:t>
      </w:r>
      <w:r w:rsidR="003A1425" w:rsidRPr="006C3985">
        <w:rPr>
          <w:rFonts w:ascii="Times New Roman" w:eastAsiaTheme="minorHAnsi" w:hAnsi="Times New Roman" w:cs="Times New Roman"/>
          <w:kern w:val="0"/>
          <w:lang w:eastAsia="en-US" w:bidi="ar-SA"/>
        </w:rPr>
        <w:t>JHEP 03 (2021) 143 [arXiv:2011.12871 [hep-ph]]</w:t>
      </w:r>
    </w:p>
    <w:p w:rsidR="003A1425" w:rsidRDefault="003A1425" w:rsidP="003A1425">
      <w:pPr>
        <w:pStyle w:val="a7"/>
        <w:spacing w:after="0" w:line="331" w:lineRule="auto"/>
        <w:jc w:val="both"/>
        <w:rPr>
          <w:rFonts w:ascii="Arial" w:hAnsi="Arial"/>
          <w:color w:val="000000"/>
          <w:sz w:val="22"/>
        </w:rPr>
      </w:pPr>
    </w:p>
    <w:p w:rsidR="003A1425" w:rsidRDefault="003A1425" w:rsidP="003A1425">
      <w:pPr>
        <w:pStyle w:val="a7"/>
        <w:spacing w:after="0" w:line="331" w:lineRule="auto"/>
        <w:jc w:val="both"/>
        <w:rPr>
          <w:rFonts w:ascii="Arial" w:hAnsi="Arial"/>
          <w:color w:val="000000"/>
          <w:sz w:val="22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5080</wp:posOffset>
            </wp:positionV>
            <wp:extent cx="2944496" cy="2291592"/>
            <wp:effectExtent l="0" t="0" r="8255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6" cy="229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Default="003A1425" w:rsidP="003A14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25" w:rsidRPr="006C3985" w:rsidRDefault="003A1425" w:rsidP="006C3985">
      <w:pPr>
        <w:pStyle w:val="a7"/>
        <w:spacing w:after="0" w:line="331" w:lineRule="auto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6C398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Рис. </w:t>
      </w:r>
      <w:r w:rsidR="008225F2" w:rsidRPr="006C398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3</w:t>
      </w:r>
      <w:r w:rsidRPr="006C398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. </w:t>
      </w:r>
      <w:r w:rsidR="006C3985" w:rsidRPr="006C398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Схема</w:t>
      </w:r>
      <w:r w:rsidRPr="006C398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предлагаемой экспериментальной установки</w:t>
      </w:r>
    </w:p>
    <w:p w:rsidR="003A1425" w:rsidRPr="00575A15" w:rsidRDefault="003A142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Pr="00767F45" w:rsidRDefault="00767F45" w:rsidP="006C3985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67F4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Предложена интерпретация данных детектора </w:t>
      </w:r>
      <w:r w:rsidRPr="00767F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Borexino в лаборатории Гран-Сассо (Италия) по измерению потока солнечных нейтрино от CNO цикла как указание на наличие потока гео-антинейтино от радиоактивного распада изотопа калия </w:t>
      </w:r>
      <w:r w:rsidRPr="00767F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40</w:t>
      </w:r>
      <w:r w:rsidRPr="00767F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К, распределённого в теле Земли.</w:t>
      </w:r>
    </w:p>
    <w:p w:rsidR="00767F45" w:rsidRDefault="00767F45" w:rsidP="006C3985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наблюдаемого превышения скорости счёта событий похожих на события от CNO нейтрино над ожидаемой из стандартной модели Солнца согласуется с величиной доли калия в Земле равной 1,5% +/- 1% от массы Земли. Такое превышение скорости счёта CNO подобных событий было предсказано в ИЯИ РАН на основании модели Богатая водородом Земля, предложенной в России. </w:t>
      </w:r>
    </w:p>
    <w:p w:rsidR="00767F45" w:rsidRPr="006C3985" w:rsidRDefault="002F294D" w:rsidP="008517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>Публикация:</w:t>
      </w:r>
      <w:r w:rsidRPr="002F2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F45" w:rsidRPr="00767F45">
        <w:rPr>
          <w:rFonts w:ascii="Times New Roman" w:hAnsi="Times New Roman" w:cs="Times New Roman"/>
          <w:color w:val="303135"/>
          <w:sz w:val="24"/>
          <w:szCs w:val="24"/>
          <w:shd w:val="clear" w:color="auto" w:fill="F6F6F6"/>
        </w:rPr>
        <w:t xml:space="preserve">Интерпретация первой регистрации солнечных нейтрино CNO цикла детектором БОРЕКСИНО. </w:t>
      </w:r>
      <w:r w:rsidR="00767F45" w:rsidRPr="00767F45">
        <w:rPr>
          <w:rStyle w:val="a4"/>
          <w:rFonts w:ascii="Times New Roman" w:hAnsi="Times New Roman" w:cs="Times New Roman"/>
          <w:color w:val="303135"/>
          <w:sz w:val="24"/>
          <w:szCs w:val="24"/>
          <w:shd w:val="clear" w:color="auto" w:fill="F6F6F6"/>
        </w:rPr>
        <w:t xml:space="preserve">Л. Б. Безруков, В. П. Заварзина, И. С. Карпиков, А. С. Курлович, А. К. Межох, С. В. Силаева, В. В. Синёв. </w:t>
      </w:r>
      <w:r w:rsidR="00767F45" w:rsidRPr="00767F45">
        <w:rPr>
          <w:rStyle w:val="a4"/>
          <w:rFonts w:ascii="Times New Roman" w:hAnsi="Times New Roman" w:cs="Times New Roman"/>
          <w:i w:val="0"/>
          <w:color w:val="303135"/>
          <w:sz w:val="24"/>
          <w:szCs w:val="24"/>
          <w:shd w:val="clear" w:color="auto" w:fill="F6F6F6"/>
        </w:rPr>
        <w:t>Известия Россий</w:t>
      </w:r>
      <w:r w:rsidR="00767F45" w:rsidRPr="00767F45">
        <w:rPr>
          <w:rStyle w:val="a4"/>
          <w:rFonts w:ascii="Times New Roman" w:hAnsi="Times New Roman" w:cs="Times New Roman"/>
          <w:i w:val="0"/>
          <w:color w:val="303135"/>
          <w:shd w:val="clear" w:color="auto" w:fill="F6F6F6"/>
        </w:rPr>
        <w:t>с</w:t>
      </w:r>
      <w:r w:rsidR="00767F45" w:rsidRPr="00767F45">
        <w:rPr>
          <w:rStyle w:val="a4"/>
          <w:rFonts w:ascii="Times New Roman" w:hAnsi="Times New Roman" w:cs="Times New Roman"/>
          <w:i w:val="0"/>
          <w:color w:val="303135"/>
          <w:sz w:val="24"/>
          <w:szCs w:val="24"/>
          <w:shd w:val="clear" w:color="auto" w:fill="F6F6F6"/>
        </w:rPr>
        <w:t xml:space="preserve">кой Академии Наук, Серия физическая. </w:t>
      </w:r>
      <w:r w:rsidR="00767F45" w:rsidRPr="00767F45">
        <w:rPr>
          <w:rStyle w:val="a5"/>
          <w:rFonts w:ascii="Times New Roman" w:hAnsi="Times New Roman" w:cs="Times New Roman"/>
          <w:b w:val="0"/>
          <w:color w:val="303135"/>
          <w:sz w:val="24"/>
          <w:szCs w:val="24"/>
          <w:shd w:val="clear" w:color="auto" w:fill="F6F6F6"/>
        </w:rPr>
        <w:t>№ 4, том 85</w:t>
      </w:r>
      <w:r w:rsidR="00767F45" w:rsidRPr="00767F45">
        <w:rPr>
          <w:rStyle w:val="a5"/>
          <w:rFonts w:ascii="Times New Roman" w:hAnsi="Times New Roman" w:cs="Times New Roman"/>
          <w:color w:val="303135"/>
          <w:sz w:val="24"/>
          <w:szCs w:val="24"/>
          <w:shd w:val="clear" w:color="auto" w:fill="F6F6F6"/>
        </w:rPr>
        <w:t xml:space="preserve">, </w:t>
      </w:r>
      <w:r w:rsidR="00767F45" w:rsidRPr="00767F45">
        <w:rPr>
          <w:rFonts w:ascii="Times New Roman" w:eastAsia="Newton-Italic" w:hAnsi="Times New Roman" w:cs="Times New Roman"/>
          <w:i/>
          <w:iCs/>
          <w:sz w:val="24"/>
          <w:szCs w:val="24"/>
        </w:rPr>
        <w:t>с.566-569</w:t>
      </w:r>
      <w:r w:rsidR="00767F45" w:rsidRPr="00767F45">
        <w:rPr>
          <w:rStyle w:val="a5"/>
          <w:rFonts w:ascii="Times New Roman" w:hAnsi="Times New Roman" w:cs="Times New Roman"/>
          <w:color w:val="303135"/>
          <w:sz w:val="24"/>
          <w:szCs w:val="24"/>
          <w:shd w:val="clear" w:color="auto" w:fill="F6F6F6"/>
        </w:rPr>
        <w:t xml:space="preserve">. </w:t>
      </w:r>
      <w:r w:rsidR="00767F45" w:rsidRPr="00767F45">
        <w:rPr>
          <w:rStyle w:val="a5"/>
          <w:rFonts w:ascii="Times New Roman" w:hAnsi="Times New Roman" w:cs="Times New Roman"/>
          <w:b w:val="0"/>
          <w:color w:val="303135"/>
          <w:sz w:val="24"/>
          <w:szCs w:val="24"/>
          <w:shd w:val="clear" w:color="auto" w:fill="F6F6F6"/>
        </w:rPr>
        <w:t>2021</w:t>
      </w:r>
    </w:p>
    <w:p w:rsidR="002F294D" w:rsidRPr="002F294D" w:rsidRDefault="00767F45" w:rsidP="002F2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29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Рассмотрены источники сезонных температурных вариаций средней энергии потока мюонов, обнаруженные в эксперименте LVD.</w:t>
      </w:r>
    </w:p>
    <w:p w:rsidR="002F294D" w:rsidRDefault="002F294D" w:rsidP="00767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Pr="00767F45" w:rsidRDefault="00767F45" w:rsidP="002F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Показано, что вариации связаны с процессами генерации мюонов в верхних слоях атмосферы и прохождения мюонами слоя грунта большой толщины. Сезонные вариации средней энергии атмосферных мюонов до 10% являются новым эффектом в мюонной физике. Более высокая амплитуда сезонных вариаций космогенных нейтронов по сравнению с амплитудой вариаций интенсивности мюонов была обнаружена с помощью детектора LVD. Зависимость Nn 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sym w:font="Symbol" w:char="F0B5"/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sym w:font="Symbol" w:char="F060"/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14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sym w:font="Symbol" w:char="F06D"/>
      </w:r>
      <w:r w:rsidRPr="003A14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0.78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 связывает вариации нейтронов с вариациями 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средней энергии мюонов. Отсюда следует, что температурный эффект, влияющий на генерацию мюонов, изменяет не только их интенсивность, но и среднюю энергию.</w:t>
      </w:r>
    </w:p>
    <w:p w:rsidR="00767F45" w:rsidRP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object w:dxaOrig="6880" w:dyaOrig="5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21.5pt" o:ole="">
            <v:imagedata r:id="rId8" o:title=""/>
          </v:shape>
          <o:OLEObject Type="Embed" ProgID="PBrush" ShapeID="_x0000_i1025" DrawAspect="Content" ObjectID="_1679135713" r:id="rId9"/>
        </w:object>
      </w:r>
    </w:p>
    <w:p w:rsidR="00767F45" w:rsidRP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 w:rsidR="008225F2" w:rsidRPr="006C39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. Сезонная трансформация формы спектра мюонов, качественное представление. Красная кривая — среднегодовой спектр, синяя пунктирная — летний спектр.</w:t>
      </w:r>
    </w:p>
    <w:p w:rsidR="00767F45" w:rsidRP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Pr="00767F45" w:rsidRDefault="00767F45" w:rsidP="00767F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Публикация: Н.Ю. Агафонова, А.С. Мальгин, "О механизме температурных вариаций средней энергии мюонов на больших глубинах", ЖЭТФ 2021, том 159, вып. 1, стр. 88–94. </w:t>
      </w:r>
    </w:p>
    <w:p w:rsidR="00767F45" w:rsidRPr="00767F45" w:rsidRDefault="00767F45" w:rsidP="00767F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>DOI: 10.31857/S0044451021010077</w:t>
      </w:r>
    </w:p>
    <w:p w:rsidR="00767F45" w:rsidRP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294D" w:rsidRDefault="00767F45" w:rsidP="002F2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29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 анализ мюонов, пересекающих детектор LVD в горизонтальном направлении за 15 лет работы установки.</w:t>
      </w:r>
    </w:p>
    <w:p w:rsidR="006C3985" w:rsidRPr="002F294D" w:rsidRDefault="006C3985" w:rsidP="002F29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67F45" w:rsidRDefault="00767F45" w:rsidP="002F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>Горизонтальные мюоны проходят в грунте около 5 км в</w:t>
      </w:r>
      <w:r w:rsidR="003A1425">
        <w:rPr>
          <w:rFonts w:ascii="Times New Roman" w:hAnsi="Times New Roman" w:cs="Times New Roman"/>
          <w:color w:val="000000"/>
          <w:sz w:val="24"/>
          <w:szCs w:val="24"/>
        </w:rPr>
        <w:t>одного эквивалента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, пороговая энергия для них составляет 4.7 ТэВ. Энергетические характеристики LVD позволяют регистрировать нейтроны, образуемые мюонами в веществе детектора. Большая статистика обусловливает высокую точность определения сезонных вариаций числа нейтронов. Для установления удельного числа нейтронов использовались временные распределения импульсов с энерговыделением от 1 до 12 МэВ во временном интервале 150–650 мкс после пересечения мюоном установки.</w:t>
      </w:r>
    </w:p>
    <w:p w:rsidR="006C3985" w:rsidRDefault="006C3985" w:rsidP="002F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985" w:rsidRPr="00767F45" w:rsidRDefault="006C3985" w:rsidP="002F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Pr="00767F45" w:rsidRDefault="00767F45" w:rsidP="00767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object w:dxaOrig="14410" w:dyaOrig="3920">
          <v:shape id="_x0000_i1026" type="#_x0000_t75" style="width:405.75pt;height:111pt" o:ole="">
            <v:imagedata r:id="rId10" o:title=""/>
          </v:shape>
          <o:OLEObject Type="Embed" ProgID="PBrush" ShapeID="_x0000_i1026" DrawAspect="Content" ObjectID="_1679135714" r:id="rId11"/>
        </w:object>
      </w:r>
    </w:p>
    <w:p w:rsidR="00767F45" w:rsidRPr="00767F45" w:rsidRDefault="00767F45" w:rsidP="00767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>Рис.</w:t>
      </w:r>
      <w:r w:rsidR="003A1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5F2" w:rsidRPr="006C39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14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 xml:space="preserve"> Временные распределения гамма-квантов от захватов нейтронов в веществе детектора для горизонтального потока мюонов в летнее (справа) и зимнее (слева) время. Кривая – аппроксимация данных законом f(t) = P</w:t>
      </w:r>
      <w:r w:rsidRPr="003A14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exp(–t/P</w:t>
      </w:r>
      <w:r w:rsidRPr="003A14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) + P</w:t>
      </w:r>
      <w:r w:rsidRPr="003A142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67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F45" w:rsidRPr="00767F45" w:rsidRDefault="00767F45" w:rsidP="00767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45" w:rsidRPr="00767F45" w:rsidRDefault="00767F45" w:rsidP="00767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F45">
        <w:rPr>
          <w:rFonts w:ascii="Times New Roman" w:hAnsi="Times New Roman" w:cs="Times New Roman"/>
          <w:color w:val="000000"/>
          <w:sz w:val="24"/>
          <w:szCs w:val="24"/>
        </w:rPr>
        <w:t>Публикация: Н. Ю. Агафонова, В. В. Ашихмин, Е. А. Добрынина, Р. И. Еникеев, А. С. Мальгин, О. Г. Ряжская, И. Р. Шакирьянова, В. Ф. Якушев (и коллаборация LVD) «Измерение сезонных вариаций нейтронов от мюонов окологоризонтального направления» Известия РАН. Серия Физическая, 2021, том 85, № 4, с. 563–565. DOI: 10.31857/S0367676521040037</w:t>
      </w:r>
    </w:p>
    <w:p w:rsidR="00767F45" w:rsidRPr="00767F45" w:rsidRDefault="00767F45" w:rsidP="0085172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7F45" w:rsidRPr="00767F45" w:rsidSect="0063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Itali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716"/>
    <w:multiLevelType w:val="hybridMultilevel"/>
    <w:tmpl w:val="83DA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5BB2"/>
    <w:multiLevelType w:val="hybridMultilevel"/>
    <w:tmpl w:val="AF72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726"/>
    <w:rsid w:val="002F294D"/>
    <w:rsid w:val="00353998"/>
    <w:rsid w:val="003943C3"/>
    <w:rsid w:val="003A1425"/>
    <w:rsid w:val="00637E95"/>
    <w:rsid w:val="006C3985"/>
    <w:rsid w:val="00767F45"/>
    <w:rsid w:val="008225F2"/>
    <w:rsid w:val="008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F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F45"/>
    <w:rPr>
      <w:rFonts w:ascii="Consolas" w:hAnsi="Consolas"/>
      <w:sz w:val="20"/>
      <w:szCs w:val="20"/>
    </w:rPr>
  </w:style>
  <w:style w:type="character" w:styleId="a4">
    <w:name w:val="Emphasis"/>
    <w:basedOn w:val="a0"/>
    <w:uiPriority w:val="20"/>
    <w:qFormat/>
    <w:rsid w:val="00767F45"/>
    <w:rPr>
      <w:i/>
      <w:iCs/>
    </w:rPr>
  </w:style>
  <w:style w:type="character" w:styleId="a5">
    <w:name w:val="Strong"/>
    <w:basedOn w:val="a0"/>
    <w:uiPriority w:val="22"/>
    <w:qFormat/>
    <w:rsid w:val="00767F45"/>
    <w:rPr>
      <w:b/>
      <w:bCs/>
    </w:rPr>
  </w:style>
  <w:style w:type="paragraph" w:styleId="a6">
    <w:name w:val="List Paragraph"/>
    <w:basedOn w:val="a"/>
    <w:uiPriority w:val="34"/>
    <w:qFormat/>
    <w:rsid w:val="002F294D"/>
    <w:pPr>
      <w:ind w:left="720"/>
      <w:contextualSpacing/>
    </w:pPr>
  </w:style>
  <w:style w:type="paragraph" w:styleId="a7">
    <w:name w:val="Body Text"/>
    <w:basedOn w:val="a"/>
    <w:link w:val="a8"/>
    <w:rsid w:val="003A1425"/>
    <w:pPr>
      <w:spacing w:after="140" w:line="276" w:lineRule="auto"/>
    </w:pPr>
    <w:rPr>
      <w:rFonts w:ascii="Liberation Serif" w:eastAsia="AR PL SungtiL GB" w:hAnsi="Liberation Serif" w:cs="Lohit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1425"/>
    <w:rPr>
      <w:rFonts w:ascii="Liberation Serif" w:eastAsia="AR PL SungtiL GB" w:hAnsi="Liberation Serif" w:cs="Lohit Devanagari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Вересникова</dc:creator>
  <cp:keywords/>
  <dc:description/>
  <cp:lastModifiedBy>admin</cp:lastModifiedBy>
  <cp:revision>5</cp:revision>
  <dcterms:created xsi:type="dcterms:W3CDTF">2021-04-02T09:21:00Z</dcterms:created>
  <dcterms:modified xsi:type="dcterms:W3CDTF">2021-04-05T10:49:00Z</dcterms:modified>
</cp:coreProperties>
</file>