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10" w:rsidRPr="001A7662" w:rsidRDefault="00E35C10" w:rsidP="00E35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62">
        <w:rPr>
          <w:rFonts w:ascii="Times New Roman" w:hAnsi="Times New Roman" w:cs="Times New Roman"/>
          <w:b/>
          <w:sz w:val="24"/>
          <w:szCs w:val="24"/>
        </w:rPr>
        <w:t>Важнейшие достижения Института ядерных исследований Российской академии наук в</w:t>
      </w:r>
      <w:r w:rsidR="00F07A8E">
        <w:rPr>
          <w:rFonts w:ascii="Times New Roman" w:hAnsi="Times New Roman" w:cs="Times New Roman"/>
          <w:b/>
          <w:sz w:val="24"/>
          <w:szCs w:val="24"/>
        </w:rPr>
        <w:t>о</w:t>
      </w:r>
      <w:r w:rsidRPr="001A7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A8E">
        <w:rPr>
          <w:rFonts w:ascii="Times New Roman" w:hAnsi="Times New Roman" w:cs="Times New Roman"/>
          <w:b/>
          <w:sz w:val="24"/>
          <w:szCs w:val="24"/>
        </w:rPr>
        <w:t>2</w:t>
      </w:r>
      <w:r w:rsidR="006A685A">
        <w:rPr>
          <w:rFonts w:ascii="Times New Roman" w:hAnsi="Times New Roman" w:cs="Times New Roman"/>
          <w:b/>
          <w:sz w:val="24"/>
          <w:szCs w:val="24"/>
        </w:rPr>
        <w:t xml:space="preserve"> квартале 2018</w:t>
      </w:r>
      <w:r w:rsidRPr="001A76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35C10" w:rsidRPr="006A685A" w:rsidRDefault="00E35C10" w:rsidP="007A3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662">
        <w:rPr>
          <w:rFonts w:ascii="Times New Roman" w:hAnsi="Times New Roman" w:cs="Times New Roman"/>
          <w:sz w:val="24"/>
          <w:szCs w:val="24"/>
        </w:rPr>
        <w:t>Сотрудниками Института в</w:t>
      </w:r>
      <w:r w:rsidR="004025F8">
        <w:rPr>
          <w:rFonts w:ascii="Times New Roman" w:hAnsi="Times New Roman" w:cs="Times New Roman"/>
          <w:sz w:val="24"/>
          <w:szCs w:val="24"/>
        </w:rPr>
        <w:t>о</w:t>
      </w:r>
      <w:r w:rsidRPr="001A7662">
        <w:rPr>
          <w:rFonts w:ascii="Times New Roman" w:hAnsi="Times New Roman" w:cs="Times New Roman"/>
          <w:sz w:val="24"/>
          <w:szCs w:val="24"/>
        </w:rPr>
        <w:t xml:space="preserve"> </w:t>
      </w:r>
      <w:r w:rsidR="00B13329">
        <w:rPr>
          <w:rFonts w:ascii="Times New Roman" w:hAnsi="Times New Roman" w:cs="Times New Roman"/>
          <w:sz w:val="24"/>
          <w:szCs w:val="24"/>
        </w:rPr>
        <w:t>втором</w:t>
      </w:r>
      <w:r w:rsidRPr="001A7662">
        <w:rPr>
          <w:rFonts w:ascii="Times New Roman" w:hAnsi="Times New Roman" w:cs="Times New Roman"/>
          <w:sz w:val="24"/>
          <w:szCs w:val="24"/>
        </w:rPr>
        <w:t xml:space="preserve"> квартале опубликовано 80 научных статей в высокорейтинговых журналах и докладов на международных конференциях. Наиболее важные достижения перечислены ниже.</w:t>
      </w:r>
      <w:bookmarkStart w:id="0" w:name="_GoBack"/>
      <w:bookmarkEnd w:id="0"/>
    </w:p>
    <w:p w:rsidR="00DF050F" w:rsidRPr="006E56FF" w:rsidRDefault="006E56FF" w:rsidP="00B501F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DF050F" w:rsidRPr="006E56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олучено ограничение на частоту гравитационных коллапсов </w:t>
      </w:r>
    </w:p>
    <w:p w:rsidR="00B501FB" w:rsidRDefault="00B501FB" w:rsidP="006E56FF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</w:rPr>
      </w:pPr>
      <w:r w:rsidRPr="006E56FF">
        <w:rPr>
          <w:bCs/>
          <w:color w:val="000000"/>
        </w:rPr>
        <w:t>За период наблюдения за Галактикой по данным Артемовского Сцинтилляционного Детектора с ноября 1977г. по июнь 2018г. и Российско-итальянской установки LVD с 1992 по 2018 год</w:t>
      </w:r>
      <w:r w:rsidR="007A3E8D">
        <w:rPr>
          <w:bCs/>
          <w:color w:val="000000"/>
        </w:rPr>
        <w:t xml:space="preserve"> </w:t>
      </w:r>
      <w:r w:rsidRPr="006E56FF">
        <w:rPr>
          <w:bCs/>
          <w:color w:val="000000"/>
        </w:rPr>
        <w:t>кандидатов на нейтринные всплески от гравитационных коллапсов звезд обнаружено не было. За 40.5 лет работы получено ограничение на частоту гравитационных коллапсов: менее, чем одно событие за 17.6лет на 90% уровне достоверности (</w:t>
      </w:r>
      <w:proofErr w:type="spellStart"/>
      <w:r w:rsidRPr="006E56FF">
        <w:rPr>
          <w:bCs/>
          <w:color w:val="000000"/>
        </w:rPr>
        <w:t>fcol</w:t>
      </w:r>
      <w:proofErr w:type="spellEnd"/>
      <w:r w:rsidR="007A3E8D">
        <w:rPr>
          <w:bCs/>
          <w:color w:val="000000"/>
        </w:rPr>
        <w:t xml:space="preserve"> </w:t>
      </w:r>
      <w:r w:rsidRPr="006E56FF">
        <w:rPr>
          <w:bCs/>
          <w:color w:val="000000"/>
        </w:rPr>
        <w:t>&lt;0.057 г</w:t>
      </w:r>
      <w:r w:rsidRPr="007A3E8D">
        <w:rPr>
          <w:bCs/>
          <w:color w:val="000000"/>
          <w:vertAlign w:val="superscript"/>
        </w:rPr>
        <w:t>-1</w:t>
      </w:r>
      <w:r w:rsidRPr="006E56FF">
        <w:rPr>
          <w:bCs/>
          <w:color w:val="000000"/>
        </w:rPr>
        <w:t>).</w:t>
      </w:r>
    </w:p>
    <w:p w:rsidR="006E56FF" w:rsidRPr="006E56FF" w:rsidRDefault="006E56FF" w:rsidP="006E56FF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</w:rPr>
      </w:pPr>
    </w:p>
    <w:p w:rsidR="00B501FB" w:rsidRPr="006E56FF" w:rsidRDefault="006E56FF" w:rsidP="006E56F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Pr="006E56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апущена циркуляция трития и измерен спектр его бета-распада </w:t>
      </w:r>
      <w:r w:rsidR="00B501FB" w:rsidRPr="006E56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установке «Катрин»</w:t>
      </w:r>
    </w:p>
    <w:p w:rsidR="00B501FB" w:rsidRPr="00CF2F65" w:rsidRDefault="00B501FB" w:rsidP="00CF2F65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участии сотрудников ИЯИ РАН в установке «Катрин»</w:t>
      </w:r>
      <w:r w:rsidR="007A3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впервые запущена циркуляция трития и измерен спектр его бета-распада. </w:t>
      </w:r>
    </w:p>
    <w:p w:rsidR="00ED2177" w:rsidRPr="00CF2F65" w:rsidRDefault="00CF2F65" w:rsidP="00CF2F65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6E56FF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олучены предсказания</w:t>
      </w:r>
      <w:r w:rsidR="00ED2177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E56FF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импульсных зависимостей </w:t>
      </w:r>
      <w:r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около</w:t>
      </w:r>
      <w:r w:rsidR="007A3E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порогового рождения ф мезонов в пион-ядерных реакциях</w:t>
      </w:r>
    </w:p>
    <w:p w:rsidR="00ED2177" w:rsidRDefault="00ED2177" w:rsidP="00ED2177">
      <w:pPr>
        <w:pStyle w:val="Style18"/>
        <w:widowControl/>
        <w:spacing w:line="250" w:lineRule="exact"/>
        <w:ind w:firstLine="708"/>
        <w:jc w:val="both"/>
        <w:rPr>
          <w:bCs/>
          <w:color w:val="000000"/>
        </w:rPr>
      </w:pPr>
      <w:r w:rsidRPr="00CF2F65">
        <w:rPr>
          <w:bCs/>
          <w:color w:val="000000"/>
        </w:rPr>
        <w:t xml:space="preserve">Разработана новая модель для описания рождения на ядрах ф-мезонов в пион-ядерных реакциях при импульсе 1.7 ГэВ/с. На ее основе впервые были получены предсказания для импульсных зависимостей сечений рождения ф мезонов на ядрах С и W в этих реакциях (см. прилагаемые ниже рисунки) в кинематических условиях эксперимента, выполненного на ускорителе SIS Коллаборацией HADES (Германия) с участием сотрудников ИЯИ РАН. Их знание представляет сегодня значительный интерес. </w:t>
      </w:r>
    </w:p>
    <w:p w:rsidR="00CF2F65" w:rsidRPr="00CF2F65" w:rsidRDefault="00CF2F65" w:rsidP="00ED2177">
      <w:pPr>
        <w:pStyle w:val="Style18"/>
        <w:widowControl/>
        <w:spacing w:line="250" w:lineRule="exact"/>
        <w:ind w:firstLine="708"/>
        <w:jc w:val="both"/>
        <w:rPr>
          <w:bCs/>
          <w:color w:val="000000"/>
        </w:rPr>
      </w:pPr>
    </w:p>
    <w:p w:rsidR="00ED2177" w:rsidRPr="00CF2F65" w:rsidRDefault="00ED2177" w:rsidP="00CF2F6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результатам данной работы опубликована соответствующая статья: </w:t>
      </w:r>
    </w:p>
    <w:p w:rsidR="00ED2177" w:rsidRDefault="00ED2177" w:rsidP="00CF2F6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E. </w:t>
      </w:r>
      <w:proofErr w:type="spellStart"/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</w:t>
      </w:r>
      <w:proofErr w:type="spellEnd"/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Paryev</w:t>
      </w:r>
      <w:proofErr w:type="spellEnd"/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«Momentum dependence of pion-induced </w:t>
      </w: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meson production on nuclei near threshold».  </w:t>
      </w:r>
      <w:proofErr w:type="spellStart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ArXiv</w:t>
      </w:r>
      <w:proofErr w:type="spellEnd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1806.00303 [</w:t>
      </w:r>
      <w:proofErr w:type="spellStart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nucl-th</w:t>
      </w:r>
      <w:proofErr w:type="spellEnd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].</w:t>
      </w:r>
    </w:p>
    <w:p w:rsidR="00CF2F65" w:rsidRPr="00CF2F65" w:rsidRDefault="00CF2F65" w:rsidP="00CF2F6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2177" w:rsidRPr="00CF2F65" w:rsidRDefault="00CF2F65" w:rsidP="00CF2F65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роведен первый этап исследований по развитию</w:t>
      </w:r>
      <w:r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возможности получения медицинского изотопа стронций-82 на ускорителе</w:t>
      </w:r>
      <w:r w:rsidR="00501F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Zevacor</w:t>
      </w:r>
      <w:proofErr w:type="spellEnd"/>
      <w:r w:rsidR="00501F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Molecular</w:t>
      </w:r>
      <w:proofErr w:type="spellEnd"/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Индиане, США, и ускорителе ИЯИ РАН с переработкой продукта в</w:t>
      </w:r>
      <w:r w:rsidR="00501F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Zevacor</w:t>
      </w:r>
      <w:proofErr w:type="spellEnd"/>
      <w:r w:rsidR="00080C2E" w:rsidRPr="00CF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80C2E" w:rsidRPr="00CF2F65" w:rsidRDefault="00080C2E" w:rsidP="00080C2E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Изучен процесс перемещения по сорбенту нанесённых на него изотопов стронция-82 и 85 (которые были получены в результате облучения мишени металлического рубидия на линейном ускорителе) в зависимости от количества ионов щелочноземельных металлов в растворе, использовавшемся при изготовлении генераторных колонок на стадии их зарядки радиоактивными изотопами (Рис.1.).  </w:t>
      </w:r>
    </w:p>
    <w:p w:rsidR="00080C2E" w:rsidRDefault="00080C2E" w:rsidP="00080C2E">
      <w:pPr>
        <w:ind w:firstLine="708"/>
      </w:pPr>
    </w:p>
    <w:p w:rsidR="00080C2E" w:rsidRDefault="00080C2E" w:rsidP="00080C2E">
      <w:pPr>
        <w:ind w:firstLine="708"/>
      </w:pPr>
    </w:p>
    <w:p w:rsidR="00080C2E" w:rsidRDefault="00080C2E" w:rsidP="00CF2F65">
      <w:pPr>
        <w:ind w:right="-1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98820" cy="3223260"/>
            <wp:effectExtent l="0" t="0" r="11430" b="1524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0C2E" w:rsidRPr="00CF2F65" w:rsidRDefault="00080C2E" w:rsidP="00080C2E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Рис.1. Смещение </w:t>
      </w:r>
      <w:proofErr w:type="spellStart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пикарадиоизотопов</w:t>
      </w:r>
      <w:proofErr w:type="spellEnd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стронция по генераторной колонке при различном количестве носителя (стабильный стронцийSr2+)</w:t>
      </w:r>
      <w:r w:rsidR="00501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элюировании3 л элюента (изотонический раствор 0,9% </w:t>
      </w:r>
      <w:proofErr w:type="spellStart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NaCl</w:t>
      </w:r>
      <w:proofErr w:type="spellEnd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pH</w:t>
      </w:r>
      <w:proofErr w:type="spellEnd"/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5,9).</w:t>
      </w:r>
    </w:p>
    <w:p w:rsidR="00080C2E" w:rsidRDefault="00080C2E" w:rsidP="00080C2E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F2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Полученные результаты позволят оценивать качество радиоактивного сырья, его пригодность для изготовления генераторов рубидия-82. В мировой практике производства генераторов рубидия-82 этот вопрос ранее не исследовали.  Готовятся публикация и патент.</w:t>
      </w:r>
    </w:p>
    <w:p w:rsidR="00274586" w:rsidRPr="00274586" w:rsidRDefault="00274586" w:rsidP="00080C2E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2745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роведены совместные исследования продольных параметров пучка </w:t>
      </w:r>
      <w:proofErr w:type="spellStart"/>
      <w:r w:rsidRPr="002745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наускорителе</w:t>
      </w:r>
      <w:proofErr w:type="spellEnd"/>
      <w:r w:rsidRPr="002745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Linac-4 ЦЕРН и прототипе нового линейного ускорителя непрерывного действия проекта GSI-FAIR</w:t>
      </w:r>
    </w:p>
    <w:p w:rsidR="00D052D1" w:rsidRPr="00274586" w:rsidRDefault="00D052D1" w:rsidP="00D052D1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45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помощью созданных ранее в Институте измерителей формы сгустков проведены совместные исследования продольных параметров пучка на</w:t>
      </w:r>
      <w:r w:rsidR="00501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745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ускорителе Linac-4 ЦЕРН и прототипе нового линейного ускорителя непрерывного действия проекта GSI-FAIR, Германия. Рис</w:t>
      </w:r>
      <w:r w:rsidR="002745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 </w:t>
      </w:r>
      <w:r w:rsidRPr="002745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демонстрирует временное разрешение измерителя ИЯИ РАН (BSM) в сравнении с другими диагностическими устройствами, используемыми в GSI для измерений продольной формы сгустков.</w:t>
      </w:r>
    </w:p>
    <w:p w:rsidR="00D052D1" w:rsidRPr="000B05C4" w:rsidRDefault="00D052D1" w:rsidP="00D052D1">
      <w:pPr>
        <w:pStyle w:val="a"/>
        <w:numPr>
          <w:ilvl w:val="0"/>
          <w:numId w:val="0"/>
        </w:numPr>
        <w:jc w:val="center"/>
        <w:rPr>
          <w:rStyle w:val="a6"/>
          <w:lang w:val="en-US"/>
        </w:rPr>
      </w:pPr>
      <w:r>
        <w:rPr>
          <w:noProof/>
        </w:rPr>
        <w:drawing>
          <wp:inline distT="0" distB="0" distL="0" distR="0">
            <wp:extent cx="3625215" cy="209886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176" cy="210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D1" w:rsidRDefault="00D052D1" w:rsidP="00D052D1">
      <w:pPr>
        <w:ind w:firstLine="426"/>
        <w:jc w:val="both"/>
        <w:rPr>
          <w:sz w:val="24"/>
          <w:szCs w:val="24"/>
        </w:rPr>
      </w:pPr>
    </w:p>
    <w:p w:rsidR="00D052D1" w:rsidRPr="00892378" w:rsidRDefault="00D052D1" w:rsidP="00D052D1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B05C4">
        <w:rPr>
          <w:b/>
          <w:sz w:val="24"/>
          <w:szCs w:val="24"/>
        </w:rPr>
        <w:t>Рис. </w:t>
      </w:r>
      <w:r w:rsidR="00274586">
        <w:rPr>
          <w:b/>
          <w:sz w:val="24"/>
          <w:szCs w:val="24"/>
        </w:rPr>
        <w:t>2</w:t>
      </w:r>
      <w:r w:rsidRPr="000B05C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Сравнение продольных профилей идентичных сгустков пучка, зарегистрированных измерителем формы сгустков ИЯИ РАН (BSM), быстрым индукционным датчиком тока (FCT) и датчиками фазы пучка (</w:t>
      </w:r>
      <w:proofErr w:type="spellStart"/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Pickup</w:t>
      </w:r>
      <w:proofErr w:type="spellEnd"/>
      <w:r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274586" w:rsidRPr="00274586" w:rsidRDefault="00274586" w:rsidP="00D052D1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45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Проведена подготовка переднего адронного калориметра к физическим сеансам на установке NA61 группой ИЯИ в </w:t>
      </w:r>
      <w:proofErr w:type="spellStart"/>
      <w:r w:rsidRPr="002745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ЦЕРНе</w:t>
      </w:r>
      <w:proofErr w:type="spellEnd"/>
    </w:p>
    <w:p w:rsidR="00D052D1" w:rsidRPr="00892378" w:rsidRDefault="00274586" w:rsidP="00D052D1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Calibri" w:eastAsia="Calibri" w:hAnsi="Calibri" w:cs="Times New Roman"/>
        </w:rPr>
        <w:t>Г</w:t>
      </w:r>
      <w:r w:rsidR="00D052D1"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руппой ИЯИ в </w:t>
      </w:r>
      <w:proofErr w:type="spellStart"/>
      <w:r w:rsidR="00D052D1"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ЦЕРНе</w:t>
      </w:r>
      <w:proofErr w:type="spellEnd"/>
      <w:r w:rsidR="00D052D1" w:rsidRPr="00892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установке NA61 проведена калибровка переднего адронного калориметра на пучке мюонов и измерено энергетическое разрешение и линейность отклика калориметра в диапазоне энергий 10 – 150 ГэВ с целью подготовки калориметра к физическим сеансам на установке NA61, которые начинаются с июля 2018г. </w:t>
      </w:r>
    </w:p>
    <w:p w:rsidR="00D052D1" w:rsidRPr="00F95736" w:rsidRDefault="00D052D1" w:rsidP="00D052D1">
      <w:pPr>
        <w:jc w:val="both"/>
        <w:rPr>
          <w:bCs/>
        </w:rPr>
      </w:pPr>
    </w:p>
    <w:p w:rsidR="00D052D1" w:rsidRPr="006B61CD" w:rsidRDefault="00D052D1" w:rsidP="00274586">
      <w:pPr>
        <w:jc w:val="center"/>
        <w:rPr>
          <w:bCs/>
        </w:rPr>
      </w:pPr>
      <w:r>
        <w:rPr>
          <w:noProof/>
          <w:lang w:eastAsia="ru-RU"/>
        </w:rPr>
        <w:drawing>
          <wp:inline distT="0" distB="0" distL="0" distR="0">
            <wp:extent cx="4683529" cy="37490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830" t="208" r="2332" b="5854"/>
                    <a:stretch/>
                  </pic:blipFill>
                  <pic:spPr bwMode="auto">
                    <a:xfrm>
                      <a:off x="0" y="0"/>
                      <a:ext cx="4683529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52D1" w:rsidRPr="00B501FB" w:rsidRDefault="00D052D1" w:rsidP="00D052D1">
      <w:pPr>
        <w:rPr>
          <w:rFonts w:ascii="Calibri" w:eastAsia="Calibri" w:hAnsi="Calibri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9675" cy="4657725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DF" w:rsidRPr="00501FDF" w:rsidRDefault="00501FDF" w:rsidP="00501FDF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501F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сследован возможный эффект на прозрачность вселенной для гамма-излучения.</w:t>
      </w:r>
    </w:p>
    <w:p w:rsidR="00501FDF" w:rsidRPr="00501FDF" w:rsidRDefault="00501FDF" w:rsidP="00501F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DF">
        <w:rPr>
          <w:rFonts w:ascii="Times New Roman" w:eastAsia="Calibri" w:hAnsi="Times New Roman" w:cs="Times New Roman"/>
          <w:sz w:val="24"/>
          <w:szCs w:val="24"/>
        </w:rPr>
        <w:t>В 2017 году эксперимент CIBER заявил о детектировании беспрецедентно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>высокого внегалактического фона в ближнем инфракрасном диапазоне 0.8-1.7 мкм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>CIBER. По результатам измерений исследован возможный эффект на прозрачность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>вселенной для гамма-излучения. Показано, что новые измерения ожидаемо обостряют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>проблему аномальной прозрачности Вселенной для жесткого гамма-излучения от далеких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</w:rPr>
        <w:t>блазаров</w:t>
      </w:r>
      <w:proofErr w:type="spellEnd"/>
      <w:r w:rsidRPr="00501FDF">
        <w:rPr>
          <w:rFonts w:ascii="Times New Roman" w:eastAsia="Calibri" w:hAnsi="Times New Roman" w:cs="Times New Roman"/>
          <w:sz w:val="24"/>
          <w:szCs w:val="24"/>
        </w:rPr>
        <w:t>. В то же время показано, что в альтернативном сценарии вторичных фотонов,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>предполагающем, что наблюдаемое излучение производится космическими лучами,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 xml:space="preserve">испущенными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</w:rPr>
        <w:t>блазарами</w:t>
      </w:r>
      <w:proofErr w:type="spellEnd"/>
      <w:r w:rsidRPr="00501FDF">
        <w:rPr>
          <w:rFonts w:ascii="Times New Roman" w:eastAsia="Calibri" w:hAnsi="Times New Roman" w:cs="Times New Roman"/>
          <w:sz w:val="24"/>
          <w:szCs w:val="24"/>
        </w:rPr>
        <w:t xml:space="preserve"> возникает проблема недостаточной временной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</w:rPr>
        <w:t>вариабильности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DF">
        <w:rPr>
          <w:rFonts w:ascii="Times New Roman" w:eastAsia="Calibri" w:hAnsi="Times New Roman" w:cs="Times New Roman"/>
          <w:sz w:val="24"/>
          <w:szCs w:val="24"/>
        </w:rPr>
        <w:t>сигнала [1].</w:t>
      </w:r>
    </w:p>
    <w:p w:rsidR="00F95736" w:rsidRPr="00501FDF" w:rsidRDefault="00501FDF" w:rsidP="00501F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  <w:lang w:val="en-US"/>
        </w:rPr>
        <w:t>O.Kalashev</w:t>
      </w:r>
      <w:proofErr w:type="spellEnd"/>
      <w:r w:rsidRPr="00501F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«Secondary signal from ultra-high energy cosmic rays produced by distant blazars.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</w:rPr>
        <w:t>Time</w:t>
      </w:r>
      <w:proofErr w:type="spellEnd"/>
      <w:r w:rsidRPr="0050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</w:rPr>
        <w:t>variability</w:t>
      </w:r>
      <w:proofErr w:type="spellEnd"/>
      <w:r w:rsidRPr="00501FD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501FDF">
        <w:rPr>
          <w:rFonts w:ascii="Times New Roman" w:eastAsia="Calibri" w:hAnsi="Times New Roman" w:cs="Times New Roman"/>
          <w:sz w:val="24"/>
          <w:szCs w:val="24"/>
        </w:rPr>
        <w:t>- доклад на ХХ международном семинаре по физике высоких энергий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1FDF">
        <w:rPr>
          <w:rFonts w:ascii="Times New Roman" w:eastAsia="Calibri" w:hAnsi="Times New Roman" w:cs="Times New Roman"/>
          <w:sz w:val="24"/>
          <w:szCs w:val="24"/>
        </w:rPr>
        <w:t>Quarks</w:t>
      </w:r>
      <w:proofErr w:type="spellEnd"/>
      <w:r w:rsidRPr="00501FDF">
        <w:rPr>
          <w:rFonts w:ascii="Times New Roman" w:eastAsia="Calibri" w:hAnsi="Times New Roman" w:cs="Times New Roman"/>
          <w:sz w:val="24"/>
          <w:szCs w:val="24"/>
        </w:rPr>
        <w:t xml:space="preserve"> 2018</w:t>
      </w:r>
    </w:p>
    <w:sectPr w:rsidR="00F95736" w:rsidRPr="00501FDF" w:rsidSect="005A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74CB8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1FB"/>
    <w:rsid w:val="00080C2E"/>
    <w:rsid w:val="002372FD"/>
    <w:rsid w:val="00274586"/>
    <w:rsid w:val="003C7C7F"/>
    <w:rsid w:val="004025F8"/>
    <w:rsid w:val="00501FDF"/>
    <w:rsid w:val="005A54C2"/>
    <w:rsid w:val="006A685A"/>
    <w:rsid w:val="006E56FF"/>
    <w:rsid w:val="007A3E8D"/>
    <w:rsid w:val="00892378"/>
    <w:rsid w:val="00B13329"/>
    <w:rsid w:val="00B501FB"/>
    <w:rsid w:val="00CF2F65"/>
    <w:rsid w:val="00D052D1"/>
    <w:rsid w:val="00D250F9"/>
    <w:rsid w:val="00D36523"/>
    <w:rsid w:val="00DF050F"/>
    <w:rsid w:val="00E35C10"/>
    <w:rsid w:val="00ED2177"/>
    <w:rsid w:val="00F07A8E"/>
    <w:rsid w:val="00F9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01F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43">
    <w:name w:val="Font Style43"/>
    <w:basedOn w:val="a1"/>
    <w:uiPriority w:val="99"/>
    <w:rsid w:val="00ED2177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0"/>
    <w:uiPriority w:val="99"/>
    <w:rsid w:val="00ED2177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ED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D2177"/>
    <w:rPr>
      <w:rFonts w:ascii="Tahoma" w:hAnsi="Tahoma" w:cs="Tahoma"/>
      <w:sz w:val="16"/>
      <w:szCs w:val="16"/>
    </w:rPr>
  </w:style>
  <w:style w:type="character" w:styleId="a6">
    <w:name w:val="Hyperlink"/>
    <w:basedOn w:val="a1"/>
    <w:rsid w:val="00F95736"/>
    <w:rPr>
      <w:color w:val="0000FF"/>
      <w:u w:val="single"/>
    </w:rPr>
  </w:style>
  <w:style w:type="paragraph" w:styleId="a7">
    <w:name w:val="Body Text"/>
    <w:basedOn w:val="a0"/>
    <w:link w:val="a8"/>
    <w:rsid w:val="00F95736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8">
    <w:name w:val="Основной текст Знак"/>
    <w:basedOn w:val="a1"/>
    <w:link w:val="a7"/>
    <w:rsid w:val="00F95736"/>
    <w:rPr>
      <w:rFonts w:ascii="Calibri" w:eastAsia="Calibri" w:hAnsi="Calibri" w:cs="Calibri"/>
      <w:lang w:eastAsia="zh-CN"/>
    </w:rPr>
  </w:style>
  <w:style w:type="paragraph" w:styleId="a">
    <w:name w:val="List Number"/>
    <w:basedOn w:val="a0"/>
    <w:link w:val="a9"/>
    <w:rsid w:val="00F9573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умерованный список Знак"/>
    <w:basedOn w:val="a1"/>
    <w:link w:val="a"/>
    <w:rsid w:val="00F95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0"/>
    <w:uiPriority w:val="99"/>
    <w:unhideWhenUsed/>
    <w:rsid w:val="006E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7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Сравнение смещения активности в колонках с различным количеством добавленного </a:t>
            </a:r>
            <a:r>
              <a:rPr lang="en-US"/>
              <a:t>Sr</a:t>
            </a:r>
            <a:r>
              <a:rPr lang="en-US" baseline="30000"/>
              <a:t>2+</a:t>
            </a:r>
          </a:p>
        </c:rich>
      </c:tx>
      <c:layout>
        <c:manualLayout>
          <c:xMode val="edge"/>
          <c:yMode val="edge"/>
          <c:x val="0.11141678129298489"/>
          <c:y val="1.9607843137254902E-2"/>
        </c:manualLayout>
      </c:layout>
      <c:spPr>
        <a:noFill/>
        <a:ln w="24212">
          <a:noFill/>
        </a:ln>
      </c:spPr>
    </c:title>
    <c:plotArea>
      <c:layout>
        <c:manualLayout>
          <c:layoutTarget val="inner"/>
          <c:xMode val="edge"/>
          <c:yMode val="edge"/>
          <c:x val="0.12792297111416781"/>
          <c:y val="0.33823529411764752"/>
          <c:w val="0.57771664374140297"/>
          <c:h val="0.47794117647058826"/>
        </c:manualLayout>
      </c:layout>
      <c:scatterChart>
        <c:scatterStyle val="smoothMarker"/>
        <c:ser>
          <c:idx val="0"/>
          <c:order val="0"/>
          <c:tx>
            <c:v>0,0 л; 120 мкг Sr2+</c:v>
          </c:tx>
          <c:spPr>
            <a:ln w="12106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Sheet1!$A$62:$A$76</c:f>
              <c:numCache>
                <c:formatCode>General</c:formatCode>
                <c:ptCount val="1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</c:numCache>
            </c:numRef>
          </c:xVal>
          <c:yVal>
            <c:numRef>
              <c:f>Sheet1!$B$62:$B$76</c:f>
              <c:numCache>
                <c:formatCode>General</c:formatCode>
                <c:ptCount val="15"/>
                <c:pt idx="0">
                  <c:v>245</c:v>
                </c:pt>
                <c:pt idx="1">
                  <c:v>310</c:v>
                </c:pt>
                <c:pt idx="2">
                  <c:v>440</c:v>
                </c:pt>
                <c:pt idx="3">
                  <c:v>910</c:v>
                </c:pt>
                <c:pt idx="4">
                  <c:v>1820</c:v>
                </c:pt>
                <c:pt idx="5">
                  <c:v>3775</c:v>
                </c:pt>
                <c:pt idx="6">
                  <c:v>1840</c:v>
                </c:pt>
                <c:pt idx="7">
                  <c:v>760</c:v>
                </c:pt>
                <c:pt idx="8">
                  <c:v>410</c:v>
                </c:pt>
                <c:pt idx="9">
                  <c:v>280</c:v>
                </c:pt>
                <c:pt idx="10">
                  <c:v>205</c:v>
                </c:pt>
                <c:pt idx="11">
                  <c:v>140</c:v>
                </c:pt>
                <c:pt idx="12">
                  <c:v>100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FDC-4A69-8C5E-C9353D415A94}"/>
            </c:ext>
          </c:extLst>
        </c:ser>
        <c:ser>
          <c:idx val="1"/>
          <c:order val="1"/>
          <c:tx>
            <c:v>0,0 л; 400 мкг Sr2+</c:v>
          </c:tx>
          <c:spPr>
            <a:ln w="12106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Sheet1!$A$62:$A$76</c:f>
              <c:numCache>
                <c:formatCode>General</c:formatCode>
                <c:ptCount val="1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</c:numCache>
            </c:numRef>
          </c:xVal>
          <c:yVal>
            <c:numRef>
              <c:f>Sheet1!$C$62:$C$76</c:f>
              <c:numCache>
                <c:formatCode>General</c:formatCode>
                <c:ptCount val="15"/>
                <c:pt idx="0">
                  <c:v>130</c:v>
                </c:pt>
                <c:pt idx="1">
                  <c:v>140</c:v>
                </c:pt>
                <c:pt idx="2">
                  <c:v>215</c:v>
                </c:pt>
                <c:pt idx="3">
                  <c:v>400</c:v>
                </c:pt>
                <c:pt idx="4">
                  <c:v>960</c:v>
                </c:pt>
                <c:pt idx="5">
                  <c:v>1850</c:v>
                </c:pt>
                <c:pt idx="6">
                  <c:v>1030</c:v>
                </c:pt>
                <c:pt idx="7">
                  <c:v>405</c:v>
                </c:pt>
                <c:pt idx="8">
                  <c:v>210</c:v>
                </c:pt>
                <c:pt idx="9">
                  <c:v>140</c:v>
                </c:pt>
                <c:pt idx="10">
                  <c:v>110</c:v>
                </c:pt>
                <c:pt idx="11">
                  <c:v>75</c:v>
                </c:pt>
                <c:pt idx="12">
                  <c:v>60</c:v>
                </c:pt>
                <c:pt idx="13">
                  <c:v>50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FDC-4A69-8C5E-C9353D415A94}"/>
            </c:ext>
          </c:extLst>
        </c:ser>
        <c:ser>
          <c:idx val="2"/>
          <c:order val="2"/>
          <c:tx>
            <c:v>3,0 л; 120 мкг Sr2+</c:v>
          </c:tx>
          <c:spPr>
            <a:ln w="12106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numRef>
              <c:f>Sheet1!$A$62:$A$76</c:f>
              <c:numCache>
                <c:formatCode>General</c:formatCode>
                <c:ptCount val="1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</c:numCache>
            </c:numRef>
          </c:xVal>
          <c:yVal>
            <c:numRef>
              <c:f>Sheet1!$D$62:$D$76</c:f>
              <c:numCache>
                <c:formatCode>General</c:formatCode>
                <c:ptCount val="15"/>
                <c:pt idx="0">
                  <c:v>210</c:v>
                </c:pt>
                <c:pt idx="1">
                  <c:v>310</c:v>
                </c:pt>
                <c:pt idx="2">
                  <c:v>465</c:v>
                </c:pt>
                <c:pt idx="3">
                  <c:v>810</c:v>
                </c:pt>
                <c:pt idx="4">
                  <c:v>1845</c:v>
                </c:pt>
                <c:pt idx="5">
                  <c:v>3495</c:v>
                </c:pt>
                <c:pt idx="6">
                  <c:v>2710</c:v>
                </c:pt>
                <c:pt idx="7">
                  <c:v>1310</c:v>
                </c:pt>
                <c:pt idx="8">
                  <c:v>700</c:v>
                </c:pt>
                <c:pt idx="9">
                  <c:v>410</c:v>
                </c:pt>
                <c:pt idx="10">
                  <c:v>280</c:v>
                </c:pt>
                <c:pt idx="11">
                  <c:v>190</c:v>
                </c:pt>
                <c:pt idx="12">
                  <c:v>135</c:v>
                </c:pt>
                <c:pt idx="13">
                  <c:v>95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6FDC-4A69-8C5E-C9353D415A94}"/>
            </c:ext>
          </c:extLst>
        </c:ser>
        <c:ser>
          <c:idx val="3"/>
          <c:order val="3"/>
          <c:tx>
            <c:v>3,0 л; 400 мкг Sr2+</c:v>
          </c:tx>
          <c:spPr>
            <a:ln w="12106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xVal>
            <c:numRef>
              <c:f>Sheet1!$A$62:$A$76</c:f>
              <c:numCache>
                <c:formatCode>General</c:formatCode>
                <c:ptCount val="1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</c:numCache>
            </c:numRef>
          </c:xVal>
          <c:yVal>
            <c:numRef>
              <c:f>Sheet1!$E$62:$E$76</c:f>
              <c:numCache>
                <c:formatCode>General</c:formatCode>
                <c:ptCount val="15"/>
                <c:pt idx="0">
                  <c:v>75</c:v>
                </c:pt>
                <c:pt idx="1">
                  <c:v>110</c:v>
                </c:pt>
                <c:pt idx="2">
                  <c:v>160</c:v>
                </c:pt>
                <c:pt idx="3">
                  <c:v>270</c:v>
                </c:pt>
                <c:pt idx="4">
                  <c:v>560</c:v>
                </c:pt>
                <c:pt idx="5">
                  <c:v>1255</c:v>
                </c:pt>
                <c:pt idx="6">
                  <c:v>1295</c:v>
                </c:pt>
                <c:pt idx="7">
                  <c:v>615</c:v>
                </c:pt>
                <c:pt idx="8">
                  <c:v>270</c:v>
                </c:pt>
                <c:pt idx="9">
                  <c:v>160</c:v>
                </c:pt>
                <c:pt idx="10">
                  <c:v>105</c:v>
                </c:pt>
                <c:pt idx="11">
                  <c:v>85</c:v>
                </c:pt>
                <c:pt idx="12">
                  <c:v>60</c:v>
                </c:pt>
                <c:pt idx="13">
                  <c:v>50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6FDC-4A69-8C5E-C9353D415A94}"/>
            </c:ext>
          </c:extLst>
        </c:ser>
        <c:axId val="162374400"/>
        <c:axId val="162376320"/>
      </c:scatterChart>
      <c:valAx>
        <c:axId val="162374400"/>
        <c:scaling>
          <c:orientation val="minMax"/>
        </c:scaling>
        <c:axPos val="b"/>
        <c:minorGridlines>
          <c:spPr>
            <a:ln w="3027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90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расстояние, мм</a:t>
                </a:r>
              </a:p>
            </c:rich>
          </c:tx>
          <c:layout>
            <c:manualLayout>
              <c:xMode val="edge"/>
              <c:yMode val="edge"/>
              <c:x val="0.32737276478679572"/>
              <c:y val="0.90196078431372551"/>
            </c:manualLayout>
          </c:layout>
          <c:spPr>
            <a:noFill/>
            <a:ln w="24212">
              <a:noFill/>
            </a:ln>
          </c:spPr>
        </c:title>
        <c:numFmt formatCode="General" sourceLinked="1"/>
        <c:tickLblPos val="nextTo"/>
        <c:spPr>
          <a:ln w="30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2376320"/>
        <c:crosses val="autoZero"/>
        <c:crossBetween val="midCat"/>
      </c:valAx>
      <c:valAx>
        <c:axId val="162376320"/>
        <c:scaling>
          <c:orientation val="minMax"/>
        </c:scaling>
        <c:axPos val="l"/>
        <c:majorGridlines>
          <c:spPr>
            <a:ln w="3027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активность, у.е.</a:t>
                </a:r>
              </a:p>
            </c:rich>
          </c:tx>
          <c:layout>
            <c:manualLayout>
              <c:xMode val="edge"/>
              <c:yMode val="edge"/>
              <c:x val="1.5130674002751041E-2"/>
              <c:y val="0.41176470588235348"/>
            </c:manualLayout>
          </c:layout>
          <c:spPr>
            <a:noFill/>
            <a:ln w="24212">
              <a:noFill/>
            </a:ln>
          </c:spPr>
        </c:title>
        <c:numFmt formatCode="General" sourceLinked="1"/>
        <c:tickLblPos val="nextTo"/>
        <c:spPr>
          <a:ln w="30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2374400"/>
        <c:crosses val="autoZero"/>
        <c:crossBetween val="midCat"/>
      </c:valAx>
      <c:spPr>
        <a:solidFill>
          <a:srgbClr val="C0C0C0"/>
        </a:solidFill>
        <a:ln w="1210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00275103163686"/>
          <c:y val="0.44852941176470634"/>
          <c:w val="0.25309491059147177"/>
          <c:h val="0.23774509803921587"/>
        </c:manualLayout>
      </c:layout>
      <c:spPr>
        <a:solidFill>
          <a:srgbClr val="FFFFFF"/>
        </a:solidFill>
        <a:ln w="3027">
          <a:solidFill>
            <a:srgbClr val="000000"/>
          </a:solidFill>
          <a:prstDash val="solid"/>
        </a:ln>
      </c:spPr>
      <c:txPr>
        <a:bodyPr/>
        <a:lstStyle/>
        <a:p>
          <a:pPr>
            <a:defRPr sz="82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027">
      <a:solidFill>
        <a:srgbClr val="000000"/>
      </a:solidFill>
      <a:prstDash val="solid"/>
    </a:ln>
  </c:spPr>
  <c:txPr>
    <a:bodyPr/>
    <a:lstStyle/>
    <a:p>
      <a:pPr>
        <a:defRPr sz="90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КуденкоТ</cp:lastModifiedBy>
  <cp:revision>10</cp:revision>
  <dcterms:created xsi:type="dcterms:W3CDTF">2018-07-04T08:43:00Z</dcterms:created>
  <dcterms:modified xsi:type="dcterms:W3CDTF">2018-11-27T06:35:00Z</dcterms:modified>
</cp:coreProperties>
</file>