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18" w:rsidRPr="00D14C18" w:rsidRDefault="00D14C18" w:rsidP="00D14C18">
      <w:pPr>
        <w:spacing w:before="33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</w:pPr>
      <w:r w:rsidRPr="00D14C18"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  <w:br/>
        <w:t>Карточка вакансии</w:t>
      </w:r>
    </w:p>
    <w:p w:rsidR="00D14C18" w:rsidRPr="00D14C18" w:rsidRDefault="00D14C18" w:rsidP="00D14C18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" w:tooltip="" w:history="1">
        <w:r w:rsidRPr="00D14C18">
          <w:rPr>
            <w:rFonts w:ascii="Arial" w:eastAsia="Times New Roman" w:hAnsi="Arial" w:cs="Arial"/>
            <w:caps/>
            <w:color w:val="0071BC"/>
            <w:sz w:val="21"/>
            <w:szCs w:val="21"/>
            <w:u w:val="single"/>
            <w:bdr w:val="single" w:sz="6" w:space="5" w:color="0071BC" w:frame="1"/>
            <w:lang w:eastAsia="ru-RU"/>
          </w:rPr>
          <w:t>ОТМЕНИТЬ</w:t>
        </w:r>
      </w:hyperlink>
    </w:p>
    <w:p w:rsidR="00D14C18" w:rsidRPr="00D14C18" w:rsidRDefault="00D14C18" w:rsidP="00D14C1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VAC_25723</w:t>
      </w:r>
    </w:p>
    <w:p w:rsidR="00D14C18" w:rsidRPr="00D14C18" w:rsidRDefault="00D14C18" w:rsidP="00D14C1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D14C18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D14C18" w:rsidRPr="00D14C18" w:rsidRDefault="00D14C18" w:rsidP="00D14C1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D14C18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21.09.2017</w:t>
      </w: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D14C18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D14C18" w:rsidRPr="00D14C18" w:rsidRDefault="00D14C18" w:rsidP="00D14C1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D14C18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20.10.2017</w:t>
      </w: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D14C18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D14C18" w:rsidRPr="00D14C18" w:rsidRDefault="00D14C18" w:rsidP="00D14C1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D14C18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26.10.2017</w:t>
      </w:r>
      <w:r w:rsidRPr="00D14C18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D14C18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Научный сотрудник Научный сотрудник Лаборатории лептонов высоких энергий Отдела лептонов высоких энергий и нейтринной астрофизики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Руководство группой сотрудников и проведение плановых исследований по теме. Разработка планов и методических программ проведения исследований и разработок,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Обобщение научных (научно-технических) результатов, полученных в процессе решения научно-исследовательских задач научными коллективами </w:t>
      </w:r>
      <w:proofErr w:type="gramStart"/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исследования</w:t>
      </w:r>
      <w:proofErr w:type="gramEnd"/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направленные на изучение </w:t>
      </w:r>
      <w:proofErr w:type="spellStart"/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адронной</w:t>
      </w:r>
      <w:proofErr w:type="spellEnd"/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компоненты широких атмосферных ливней посредством регистрации вторичных тепловых нейтронов.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Руководство группой сотрудников и проведение плановых исследований по теме. Разработка планов и методических программ проведения исследований и разработок,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D14C18" w:rsidRPr="00D14C18" w:rsidRDefault="00D14C18" w:rsidP="00D14C18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D14C18" w:rsidRPr="00D14C18" w:rsidRDefault="00D14C18" w:rsidP="00D14C18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30 000 руб.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D14C18" w:rsidRPr="00D14C18" w:rsidRDefault="00D14C18" w:rsidP="00D14C18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УСЛОВИЯ ПРЕМИРОВАНИЯ:</w:t>
      </w:r>
    </w:p>
    <w:p w:rsidR="00D14C18" w:rsidRPr="00D14C18" w:rsidRDefault="00D14C18" w:rsidP="00D14C18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D14C18">
        <w:rPr>
          <w:rFonts w:ascii="inherit" w:eastAsia="Times New Roman" w:hAnsi="inherit" w:cs="Times New Roman"/>
          <w:sz w:val="21"/>
          <w:szCs w:val="21"/>
          <w:lang w:eastAsia="ru-RU"/>
        </w:rPr>
        <w:t>высокая результативность работы (вклад в результативность организации)</w:t>
      </w:r>
    </w:p>
    <w:p w:rsidR="00D14C18" w:rsidRPr="00D14C18" w:rsidRDefault="00D14C18" w:rsidP="00D14C18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D14C18" w:rsidRPr="00D14C18" w:rsidRDefault="00D14C18" w:rsidP="00D14C18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D14C18" w:rsidRPr="00D14C18" w:rsidRDefault="00D14C18" w:rsidP="00D14C18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D14C18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812A33" w:rsidRDefault="00812A33">
      <w:bookmarkStart w:id="0" w:name="_GoBack"/>
      <w:bookmarkEnd w:id="0"/>
    </w:p>
    <w:sectPr w:rsidR="008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69"/>
    <w:rsid w:val="00554D69"/>
    <w:rsid w:val="00812A33"/>
    <w:rsid w:val="00D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8D19-1BC3-452A-BA58-AB6B232C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8012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30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2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52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18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78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37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13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9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1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019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9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71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28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9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13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68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404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95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15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76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5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4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514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61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477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004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64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vacancies/card/bc188c5c-00d9-a55a-367c-2248b75918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>diakov.net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2017-09-25T07:48:00Z</dcterms:created>
  <dcterms:modified xsi:type="dcterms:W3CDTF">2017-09-25T07:48:00Z</dcterms:modified>
</cp:coreProperties>
</file>