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AC" w:rsidRPr="001B3FD1" w:rsidRDefault="001530AC" w:rsidP="001530A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Начало приема заявок: </w:t>
      </w:r>
      <w:r w:rsidR="00063E84">
        <w:rPr>
          <w:rFonts w:ascii="Tahoma" w:eastAsia="Times New Roman" w:hAnsi="Tahoma" w:cs="Tahoma"/>
          <w:color w:val="06365C"/>
          <w:sz w:val="20"/>
          <w:szCs w:val="20"/>
          <w:lang w:val="en-US" w:eastAsia="ru-RU"/>
        </w:rPr>
        <w:t>12/02/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2018</w:t>
      </w:r>
    </w:p>
    <w:p w:rsidR="001530AC" w:rsidRPr="001B3FD1" w:rsidRDefault="001530AC" w:rsidP="001530A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Окончание приема заявок</w:t>
      </w:r>
      <w:r w:rsidR="00063E84">
        <w:rPr>
          <w:rFonts w:ascii="Tahoma" w:eastAsia="Times New Roman" w:hAnsi="Tahoma" w:cs="Tahoma"/>
          <w:color w:val="06365C"/>
          <w:sz w:val="20"/>
          <w:szCs w:val="20"/>
          <w:lang w:val="en-US" w:eastAsia="ru-RU"/>
        </w:rPr>
        <w:t>12/03/</w:t>
      </w: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 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2018</w:t>
      </w:r>
    </w:p>
    <w:p w:rsidR="00B95AB4" w:rsidRDefault="001530A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Дата проведения конкурса: </w:t>
      </w:r>
      <w:r w:rsidR="00063E84">
        <w:rPr>
          <w:rFonts w:ascii="Tahoma" w:eastAsia="Times New Roman" w:hAnsi="Tahoma" w:cs="Tahoma"/>
          <w:color w:val="06365C"/>
          <w:sz w:val="20"/>
          <w:szCs w:val="20"/>
          <w:lang w:val="en-US" w:eastAsia="ru-RU"/>
        </w:rPr>
        <w:t>22/03/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2018</w:t>
      </w:r>
    </w:p>
    <w:p w:rsidR="00B95AB4" w:rsidRPr="00063E8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</w:pPr>
      <w:r w:rsidRPr="00063E84">
        <w:rPr>
          <w:rFonts w:ascii="Arial" w:eastAsia="Times New Roman" w:hAnsi="Arial" w:cs="Arial"/>
          <w:iCs/>
          <w:color w:val="4472C4" w:themeColor="accent5"/>
          <w:sz w:val="20"/>
          <w:szCs w:val="20"/>
          <w:bdr w:val="none" w:sz="0" w:space="0" w:color="auto" w:frame="1"/>
          <w:lang w:eastAsia="ru-RU"/>
        </w:rPr>
        <w:t>Должность:</w:t>
      </w:r>
      <w:r w:rsidR="00B95AB4" w:rsidRPr="00063E84"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  <w:t xml:space="preserve"> </w:t>
      </w:r>
      <w:r w:rsidR="00E1401B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>Младший</w:t>
      </w:r>
      <w:r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 xml:space="preserve"> научный сотрудник</w:t>
      </w:r>
    </w:p>
    <w:p w:rsidR="00B95AB4" w:rsidRPr="00063E8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</w:pPr>
      <w:r w:rsidRPr="00063E84">
        <w:rPr>
          <w:rFonts w:ascii="Arial" w:eastAsia="Times New Roman" w:hAnsi="Arial" w:cs="Arial"/>
          <w:iCs/>
          <w:color w:val="4472C4" w:themeColor="accent5"/>
          <w:sz w:val="20"/>
          <w:szCs w:val="20"/>
          <w:bdr w:val="none" w:sz="0" w:space="0" w:color="auto" w:frame="1"/>
          <w:lang w:eastAsia="ru-RU"/>
        </w:rPr>
        <w:t>Наименование:</w:t>
      </w:r>
      <w:r w:rsidR="00B95AB4" w:rsidRPr="00063E84"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  <w:t xml:space="preserve"> </w:t>
      </w:r>
      <w:r w:rsidR="00E1401B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>Младший</w:t>
      </w:r>
      <w:r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 xml:space="preserve"> научный сотрудник </w:t>
      </w:r>
      <w:r w:rsidR="00E10468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>Л</w:t>
      </w:r>
      <w:r w:rsidR="00D66B97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>а</w:t>
      </w:r>
      <w:r w:rsidR="002F77C0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>боратории Низкофоновых измерений</w:t>
      </w:r>
      <w:r w:rsidR="00E10468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 xml:space="preserve"> БНО ИЯИ РАН</w:t>
      </w:r>
    </w:p>
    <w:p w:rsidR="00B95AB4" w:rsidRPr="00063E8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</w:pPr>
      <w:r w:rsidRPr="00063E84">
        <w:rPr>
          <w:rFonts w:ascii="Arial" w:eastAsia="Times New Roman" w:hAnsi="Arial" w:cs="Arial"/>
          <w:iCs/>
          <w:color w:val="4472C4" w:themeColor="accent5"/>
          <w:sz w:val="20"/>
          <w:szCs w:val="20"/>
          <w:bdr w:val="none" w:sz="0" w:space="0" w:color="auto" w:frame="1"/>
          <w:lang w:eastAsia="ru-RU"/>
        </w:rPr>
        <w:t>Отрасль науки:</w:t>
      </w:r>
      <w:r w:rsidR="00B95AB4" w:rsidRPr="00063E84"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  <w:t xml:space="preserve"> </w:t>
      </w:r>
      <w:r w:rsidR="00B95AB4" w:rsidRPr="00063E84">
        <w:rPr>
          <w:color w:val="4472C4" w:themeColor="accent5"/>
          <w:sz w:val="20"/>
          <w:szCs w:val="20"/>
        </w:rPr>
        <w:t>Физика элементарных частиц и атомного ядра</w:t>
      </w:r>
      <w:r w:rsidR="00B95AB4" w:rsidRPr="00063E84">
        <w:rPr>
          <w:rFonts w:ascii="inherit" w:eastAsia="Times New Roman" w:hAnsi="inherit" w:cs="Arial"/>
          <w:bCs/>
          <w:iCs/>
          <w:color w:val="4472C4" w:themeColor="accent5"/>
          <w:sz w:val="20"/>
          <w:szCs w:val="20"/>
          <w:lang w:eastAsia="ru-RU"/>
        </w:rPr>
        <w:t xml:space="preserve"> </w:t>
      </w:r>
    </w:p>
    <w:p w:rsidR="0078509C" w:rsidRPr="00063E8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</w:pPr>
      <w:r w:rsidRPr="00063E84">
        <w:rPr>
          <w:rFonts w:ascii="Arial" w:eastAsia="Times New Roman" w:hAnsi="Arial" w:cs="Arial"/>
          <w:iCs/>
          <w:color w:val="4472C4" w:themeColor="accent5"/>
          <w:sz w:val="20"/>
          <w:szCs w:val="20"/>
          <w:bdr w:val="none" w:sz="0" w:space="0" w:color="auto" w:frame="1"/>
          <w:lang w:eastAsia="ru-RU"/>
        </w:rPr>
        <w:t>Тематика исследований:</w:t>
      </w:r>
      <w:r w:rsidR="00B95AB4" w:rsidRPr="00063E84">
        <w:rPr>
          <w:rFonts w:ascii="Tahoma" w:eastAsia="Times New Roman" w:hAnsi="Tahoma" w:cs="Tahoma"/>
          <w:color w:val="4472C4" w:themeColor="accent5"/>
          <w:sz w:val="20"/>
          <w:szCs w:val="20"/>
          <w:lang w:eastAsia="ru-RU"/>
        </w:rPr>
        <w:t xml:space="preserve"> </w:t>
      </w:r>
      <w:r w:rsidR="00E10468" w:rsidRPr="00063E84">
        <w:rPr>
          <w:color w:val="4472C4" w:themeColor="accent5"/>
          <w:sz w:val="20"/>
          <w:szCs w:val="20"/>
        </w:rPr>
        <w:t xml:space="preserve">Нейтрино, двойной </w:t>
      </w:r>
      <w:proofErr w:type="gramStart"/>
      <w:r w:rsidR="00D66B97" w:rsidRPr="00063E84">
        <w:rPr>
          <w:color w:val="4472C4" w:themeColor="accent5"/>
          <w:sz w:val="20"/>
          <w:szCs w:val="20"/>
        </w:rPr>
        <w:t>β-</w:t>
      </w:r>
      <w:proofErr w:type="gramEnd"/>
      <w:r w:rsidR="00D66B97" w:rsidRPr="00063E84">
        <w:rPr>
          <w:color w:val="4472C4" w:themeColor="accent5"/>
          <w:sz w:val="20"/>
          <w:szCs w:val="20"/>
        </w:rPr>
        <w:t>распад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Расположение:</w:t>
      </w:r>
    </w:p>
    <w:p w:rsidR="0078509C" w:rsidRPr="0078509C" w:rsidRDefault="0078509C" w:rsidP="0078509C">
      <w:pPr>
        <w:numPr>
          <w:ilvl w:val="0"/>
          <w:numId w:val="2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Регион:</w:t>
      </w:r>
    </w:p>
    <w:p w:rsidR="0078509C" w:rsidRPr="0078509C" w:rsidRDefault="00D66B97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Кабардино-Балкарская республика</w:t>
      </w:r>
    </w:p>
    <w:p w:rsidR="0078509C" w:rsidRPr="0078509C" w:rsidRDefault="0078509C" w:rsidP="0078509C">
      <w:pPr>
        <w:numPr>
          <w:ilvl w:val="0"/>
          <w:numId w:val="2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Город:</w:t>
      </w:r>
    </w:p>
    <w:p w:rsidR="0078509C" w:rsidRPr="0078509C" w:rsidRDefault="00D66B97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inherit" w:eastAsia="Times New Roman" w:hAnsi="inherit" w:cs="Arial" w:hint="eastAsia"/>
          <w:b/>
          <w:bCs/>
          <w:i/>
          <w:iCs/>
          <w:color w:val="596573"/>
          <w:sz w:val="17"/>
          <w:szCs w:val="17"/>
          <w:lang w:eastAsia="ru-RU"/>
        </w:rPr>
        <w:t>п.</w:t>
      </w:r>
      <w:r w:rsidR="002F77C0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</w:t>
      </w:r>
      <w:r>
        <w:rPr>
          <w:rFonts w:ascii="inherit" w:eastAsia="Times New Roman" w:hAnsi="inherit" w:cs="Arial" w:hint="eastAsia"/>
          <w:b/>
          <w:bCs/>
          <w:i/>
          <w:iCs/>
          <w:color w:val="596573"/>
          <w:sz w:val="17"/>
          <w:szCs w:val="17"/>
          <w:lang w:eastAsia="ru-RU"/>
        </w:rPr>
        <w:t>Нейтрино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Задачи и критерии:</w:t>
      </w:r>
    </w:p>
    <w:p w:rsidR="0078509C" w:rsidRPr="00063E84" w:rsidRDefault="0078509C" w:rsidP="0078509C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Cs/>
          <w:color w:val="4472C4" w:themeColor="accent5"/>
          <w:sz w:val="20"/>
          <w:szCs w:val="20"/>
          <w:lang w:eastAsia="ru-RU"/>
        </w:rPr>
      </w:pPr>
      <w:r w:rsidRPr="00063E84">
        <w:rPr>
          <w:rFonts w:ascii="Arial" w:eastAsia="Times New Roman" w:hAnsi="Arial" w:cs="Arial"/>
          <w:iCs/>
          <w:color w:val="4472C4" w:themeColor="accent5"/>
          <w:sz w:val="20"/>
          <w:szCs w:val="20"/>
          <w:bdr w:val="none" w:sz="0" w:space="0" w:color="auto" w:frame="1"/>
          <w:lang w:eastAsia="ru-RU"/>
        </w:rPr>
        <w:t>Задачи:</w:t>
      </w:r>
    </w:p>
    <w:p w:rsidR="000C0713" w:rsidRPr="000C0713" w:rsidRDefault="002F77C0" w:rsidP="000C0713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>
        <w:t xml:space="preserve">Проведение </w:t>
      </w:r>
      <w:r w:rsidRPr="002F77C0">
        <w:t>исследований</w:t>
      </w:r>
      <w:r>
        <w:t xml:space="preserve">  в области двойного</w:t>
      </w:r>
      <w:r w:rsidRPr="002F77C0">
        <w:t xml:space="preserve"> </w:t>
      </w:r>
      <w:proofErr w:type="gramStart"/>
      <w:r w:rsidRPr="002F77C0">
        <w:t>β-</w:t>
      </w:r>
      <w:proofErr w:type="gramEnd"/>
      <w:r w:rsidRPr="002F77C0">
        <w:t>распад</w:t>
      </w:r>
      <w:r>
        <w:t>а и нейтрино</w:t>
      </w:r>
      <w:r w:rsidRPr="002F77C0">
        <w:t>. Анализ и обра</w:t>
      </w:r>
      <w:r>
        <w:t>ботка экспериментальных данных.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0C0713" w:rsidRPr="000C0713" w:rsidRDefault="0078509C" w:rsidP="000C0713">
      <w:pPr>
        <w:numPr>
          <w:ilvl w:val="0"/>
          <w:numId w:val="3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Критерии оценки:</w:t>
      </w:r>
      <w:r w:rsidR="000C0713" w:rsidRPr="000C0713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</w:rPr>
        <w:t xml:space="preserve"> </w:t>
      </w:r>
      <w:r w:rsidR="000C0713" w:rsidRPr="000C0713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>Число публикаций</w:t>
      </w:r>
      <w:r w:rsidR="00063E84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 xml:space="preserve"> </w:t>
      </w:r>
      <w:r w:rsidR="00063E84" w:rsidRPr="00063E84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>1</w:t>
      </w:r>
      <w:r w:rsidR="000C0713" w:rsidRPr="000C0713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>, показатели</w:t>
      </w:r>
      <w:bookmarkStart w:id="0" w:name="_GoBack"/>
      <w:r w:rsidR="000C0713" w:rsidRPr="000C0713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 xml:space="preserve"> </w:t>
      </w:r>
      <w:bookmarkEnd w:id="0"/>
      <w:r w:rsidR="000C0713" w:rsidRPr="000C0713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 xml:space="preserve">научно-образовательной и научно-организационной деятельности в соответствии с квалификационными требованиями. </w:t>
      </w:r>
    </w:p>
    <w:p w:rsidR="0078509C" w:rsidRPr="0078509C" w:rsidRDefault="0078509C" w:rsidP="0078509C">
      <w:pPr>
        <w:numPr>
          <w:ilvl w:val="0"/>
          <w:numId w:val="3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Квалификационные требования: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— Квалификационные требования см. на сайте </w:t>
      </w:r>
      <w:proofErr w:type="spellStart"/>
      <w:r w:rsidR="002F77C0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ияи</w:t>
      </w:r>
      <w:proofErr w:type="spellEnd"/>
      <w:r w:rsidR="002F77C0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ран http://www.inr.ru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Условия: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Заработная плата:</w:t>
      </w:r>
    </w:p>
    <w:p w:rsidR="000C0713" w:rsidRPr="000C0713" w:rsidRDefault="000C0713" w:rsidP="000C0713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0C0713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14587 - 17587рублей/месяц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Стимулирующие выплаты: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В соответствии с положением об оплате труда работников ИЯИ РАН, см. на сайте ИЯИ РАН http://www.inr.ru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Трудовой договор: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Срочный</w:t>
      </w:r>
    </w:p>
    <w:p w:rsidR="0078509C" w:rsidRPr="0078509C" w:rsidRDefault="00E1401B" w:rsidP="0078509C">
      <w:pPr>
        <w:shd w:val="clear" w:color="auto" w:fill="EFF4F9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  <w:t>- на период 5 лет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Социальный пакет: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proofErr w:type="spellStart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Найм</w:t>
      </w:r>
      <w:proofErr w:type="spellEnd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 xml:space="preserve"> жилья: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Компенсация проезда: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Служебное жилье: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Дополнительно: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Тип занятости: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Полная занятость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Режим работы: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Полный день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Лицо для получения дополнительных справок: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Фамилия, имя, отчество: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Торопина Ирина Ивановна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proofErr w:type="spellStart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E-mail</w:t>
      </w:r>
      <w:proofErr w:type="spellEnd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tori@inr.ru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Телефон:</w:t>
      </w:r>
    </w:p>
    <w:p w:rsidR="0078509C" w:rsidRPr="0078509C" w:rsidRDefault="00385DE5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+7 (495) 850 -42 -0</w:t>
      </w:r>
      <w:r w:rsidR="00E1401B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6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Дополнительно: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proofErr w:type="spellStart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Селидовкин</w:t>
      </w:r>
      <w:proofErr w:type="spellEnd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Андрей Дмитриевич ss@inr.ac.ru 8(499)135-23-12</w:t>
      </w:r>
    </w:p>
    <w:p w:rsidR="006F46C9" w:rsidRDefault="006F46C9"/>
    <w:sectPr w:rsidR="006F46C9" w:rsidSect="00B0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AC"/>
    <w:multiLevelType w:val="multilevel"/>
    <w:tmpl w:val="DDE8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060"/>
    <w:multiLevelType w:val="multilevel"/>
    <w:tmpl w:val="EC0E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C611C"/>
    <w:multiLevelType w:val="multilevel"/>
    <w:tmpl w:val="6AE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17DEF"/>
    <w:multiLevelType w:val="multilevel"/>
    <w:tmpl w:val="08DE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B3679"/>
    <w:multiLevelType w:val="multilevel"/>
    <w:tmpl w:val="0FC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54435"/>
    <w:multiLevelType w:val="multilevel"/>
    <w:tmpl w:val="F31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327"/>
    <w:rsid w:val="000548B4"/>
    <w:rsid w:val="00063E84"/>
    <w:rsid w:val="000C0713"/>
    <w:rsid w:val="001530AC"/>
    <w:rsid w:val="002F77C0"/>
    <w:rsid w:val="003255C1"/>
    <w:rsid w:val="00385DE5"/>
    <w:rsid w:val="004A6D4C"/>
    <w:rsid w:val="00503903"/>
    <w:rsid w:val="006F46C9"/>
    <w:rsid w:val="00713C8B"/>
    <w:rsid w:val="0078509C"/>
    <w:rsid w:val="00881327"/>
    <w:rsid w:val="00977B40"/>
    <w:rsid w:val="00B05EBC"/>
    <w:rsid w:val="00B95AB4"/>
    <w:rsid w:val="00C55FF4"/>
    <w:rsid w:val="00CD5E18"/>
    <w:rsid w:val="00D66B97"/>
    <w:rsid w:val="00E10468"/>
    <w:rsid w:val="00E1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95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28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48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070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40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2018-02-15T07:33:00Z</dcterms:created>
  <dcterms:modified xsi:type="dcterms:W3CDTF">2018-02-15T07:33:00Z</dcterms:modified>
</cp:coreProperties>
</file>