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64C308" w14:textId="65A16420" w:rsidR="003E54F8" w:rsidRPr="00363F38" w:rsidRDefault="003E54F8" w:rsidP="003E54F8">
      <w:pPr>
        <w:pStyle w:val="a3"/>
        <w:spacing w:before="0" w:beforeAutospacing="0" w:after="0" w:afterAutospacing="0" w:line="276" w:lineRule="auto"/>
        <w:ind w:firstLine="567"/>
        <w:jc w:val="both"/>
      </w:pPr>
      <w:bookmarkStart w:id="0" w:name="_Hlk4759290"/>
      <w:bookmarkEnd w:id="0"/>
      <w:r w:rsidRPr="00363F38">
        <w:rPr>
          <w:b/>
          <w:bCs/>
          <w:color w:val="000000"/>
        </w:rPr>
        <w:t>Важнейшие достижения Института ядерных исследований Российской академии наук во 2 квартале 20</w:t>
      </w:r>
      <w:r w:rsidRPr="003E54F8">
        <w:rPr>
          <w:b/>
          <w:bCs/>
          <w:color w:val="000000"/>
        </w:rPr>
        <w:t>20</w:t>
      </w:r>
      <w:r w:rsidRPr="00363F38">
        <w:rPr>
          <w:b/>
          <w:bCs/>
          <w:color w:val="000000"/>
        </w:rPr>
        <w:t xml:space="preserve"> года</w:t>
      </w:r>
    </w:p>
    <w:p w14:paraId="429B0A42" w14:textId="623F2F0D" w:rsidR="003E54F8" w:rsidRDefault="003E54F8" w:rsidP="003E54F8">
      <w:pPr>
        <w:pStyle w:val="a3"/>
        <w:spacing w:before="0" w:beforeAutospacing="0" w:after="0" w:afterAutospacing="0" w:line="276" w:lineRule="auto"/>
        <w:ind w:firstLine="567"/>
        <w:jc w:val="both"/>
        <w:rPr>
          <w:color w:val="000000"/>
        </w:rPr>
      </w:pPr>
      <w:r w:rsidRPr="00363F38">
        <w:rPr>
          <w:color w:val="000000"/>
        </w:rPr>
        <w:t>Сотрудниками Института в</w:t>
      </w:r>
      <w:r>
        <w:rPr>
          <w:color w:val="000000"/>
        </w:rPr>
        <w:t>о</w:t>
      </w:r>
      <w:r w:rsidRPr="00363F38">
        <w:rPr>
          <w:color w:val="000000"/>
        </w:rPr>
        <w:t xml:space="preserve"> </w:t>
      </w:r>
      <w:r>
        <w:rPr>
          <w:color w:val="000000"/>
        </w:rPr>
        <w:t>втором</w:t>
      </w:r>
      <w:r w:rsidRPr="00363F38">
        <w:rPr>
          <w:color w:val="000000"/>
        </w:rPr>
        <w:t xml:space="preserve"> квартале опубликовано </w:t>
      </w:r>
      <w:r w:rsidR="00794407" w:rsidRPr="00794407">
        <w:rPr>
          <w:color w:val="000000"/>
        </w:rPr>
        <w:t>19</w:t>
      </w:r>
      <w:r w:rsidR="00794407" w:rsidRPr="006F45DA">
        <w:rPr>
          <w:color w:val="000000"/>
        </w:rPr>
        <w:t>0</w:t>
      </w:r>
      <w:r w:rsidRPr="00363F38">
        <w:rPr>
          <w:color w:val="000000"/>
        </w:rPr>
        <w:t xml:space="preserve"> научных стат</w:t>
      </w:r>
      <w:r w:rsidR="006F45DA">
        <w:rPr>
          <w:color w:val="000000"/>
        </w:rPr>
        <w:t>ей</w:t>
      </w:r>
      <w:r w:rsidRPr="00363F38">
        <w:rPr>
          <w:color w:val="000000"/>
        </w:rPr>
        <w:t xml:space="preserve"> в высокорейтинговых журналах и докладов на международных конференциях. Наиболее важные достижения перечислены ниже.</w:t>
      </w:r>
    </w:p>
    <w:p w14:paraId="2CFCE08A" w14:textId="77777777" w:rsidR="006F45DA" w:rsidRPr="00363F38" w:rsidRDefault="006F45DA" w:rsidP="003E54F8">
      <w:pPr>
        <w:pStyle w:val="a3"/>
        <w:spacing w:before="0" w:beforeAutospacing="0" w:after="0" w:afterAutospacing="0" w:line="276" w:lineRule="auto"/>
        <w:ind w:firstLine="567"/>
        <w:jc w:val="both"/>
        <w:rPr>
          <w:color w:val="000000"/>
        </w:rPr>
      </w:pPr>
    </w:p>
    <w:p w14:paraId="268F4B84" w14:textId="77777777" w:rsidR="006F45DA" w:rsidRPr="00486AD3" w:rsidRDefault="006F45DA" w:rsidP="006F45DA">
      <w:pPr>
        <w:ind w:firstLine="708"/>
        <w:jc w:val="both"/>
        <w:rPr>
          <w:rFonts w:ascii="Times New Roman" w:hAnsi="Times New Roman" w:cs="Times New Roman"/>
          <w:b/>
          <w:i/>
          <w:iCs/>
          <w:sz w:val="24"/>
          <w:szCs w:val="24"/>
        </w:rPr>
      </w:pPr>
      <w:r w:rsidRPr="00486AD3">
        <w:rPr>
          <w:rFonts w:ascii="Times New Roman" w:hAnsi="Times New Roman" w:cs="Times New Roman"/>
          <w:b/>
          <w:i/>
          <w:iCs/>
          <w:sz w:val="24"/>
          <w:szCs w:val="24"/>
        </w:rPr>
        <w:t>Обнаружение нового проявления экзотического шестикваркового состояния в фоторасщеплении дейтрона</w:t>
      </w:r>
    </w:p>
    <w:p w14:paraId="6250DFD1" w14:textId="22F6EAE1" w:rsidR="006F45DA" w:rsidRDefault="006F45DA" w:rsidP="006F45DA">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Международной коллаборацией А2 </w:t>
      </w:r>
      <w:r w:rsidRPr="00F57391">
        <w:rPr>
          <w:rFonts w:ascii="Times New Roman" w:hAnsi="Times New Roman" w:cs="Times New Roman"/>
          <w:sz w:val="24"/>
          <w:szCs w:val="24"/>
        </w:rPr>
        <w:t xml:space="preserve">на ускорителе МАМИ (Германия) </w:t>
      </w:r>
      <w:r>
        <w:rPr>
          <w:rFonts w:ascii="Times New Roman" w:hAnsi="Times New Roman" w:cs="Times New Roman"/>
          <w:sz w:val="24"/>
          <w:szCs w:val="24"/>
        </w:rPr>
        <w:t xml:space="preserve">с участием ученых из ИЯИ РАН выполнены первые в мире измерения спиновой поляризации нейтронов отдачи в фоторасщеплении дейтрона. Измерения проведены для энергий фотонов 300-700 МэВ, при которых проявляется </w:t>
      </w:r>
      <w:proofErr w:type="spellStart"/>
      <w:r>
        <w:rPr>
          <w:rFonts w:ascii="Times New Roman" w:hAnsi="Times New Roman" w:cs="Times New Roman"/>
          <w:sz w:val="24"/>
          <w:szCs w:val="24"/>
        </w:rPr>
        <w:t>кварковая</w:t>
      </w:r>
      <w:proofErr w:type="spellEnd"/>
      <w:r>
        <w:rPr>
          <w:rFonts w:ascii="Times New Roman" w:hAnsi="Times New Roman" w:cs="Times New Roman"/>
          <w:sz w:val="24"/>
          <w:szCs w:val="24"/>
        </w:rPr>
        <w:t xml:space="preserve"> субструктура дейтрона. Обнаружена высокая нейтронная поляризация вблизи 5</w:t>
      </w:r>
      <w:r w:rsidRPr="000D4E10">
        <w:rPr>
          <w:rFonts w:ascii="Times New Roman" w:hAnsi="Times New Roman" w:cs="Times New Roman"/>
          <w:sz w:val="24"/>
          <w:szCs w:val="24"/>
        </w:rPr>
        <w:t>5</w:t>
      </w:r>
      <w:r>
        <w:rPr>
          <w:rFonts w:ascii="Times New Roman" w:hAnsi="Times New Roman" w:cs="Times New Roman"/>
          <w:sz w:val="24"/>
          <w:szCs w:val="24"/>
        </w:rPr>
        <w:t>0 МэВ</w:t>
      </w:r>
      <w:r w:rsidRPr="00BC61BA">
        <w:rPr>
          <w:rFonts w:ascii="Times New Roman" w:hAnsi="Times New Roman" w:cs="Times New Roman"/>
          <w:sz w:val="24"/>
          <w:szCs w:val="24"/>
        </w:rPr>
        <w:t xml:space="preserve"> </w:t>
      </w:r>
      <w:r>
        <w:rPr>
          <w:rFonts w:ascii="Times New Roman" w:hAnsi="Times New Roman" w:cs="Times New Roman"/>
          <w:sz w:val="24"/>
          <w:szCs w:val="24"/>
        </w:rPr>
        <w:t xml:space="preserve">(рис. 1), которая не согласуется с существующими теоретическими предсказаниями. Проведенный анализ указывает на связь такого поведения поляризации </w:t>
      </w:r>
      <w:r w:rsidR="009961D7">
        <w:rPr>
          <w:rFonts w:ascii="Times New Roman" w:hAnsi="Times New Roman" w:cs="Times New Roman"/>
          <w:sz w:val="24"/>
          <w:szCs w:val="24"/>
        </w:rPr>
        <w:t>с возбуждением</w:t>
      </w:r>
      <w:r>
        <w:rPr>
          <w:rFonts w:ascii="Times New Roman" w:hAnsi="Times New Roman" w:cs="Times New Roman"/>
          <w:sz w:val="24"/>
          <w:szCs w:val="24"/>
        </w:rPr>
        <w:t xml:space="preserve"> шестикваркового состояния дейтрона </w:t>
      </w:r>
      <w:r>
        <w:rPr>
          <w:rFonts w:ascii="Times New Roman" w:hAnsi="Times New Roman" w:cs="Times New Roman"/>
          <w:sz w:val="24"/>
          <w:szCs w:val="24"/>
          <w:lang w:val="en-US"/>
        </w:rPr>
        <w:t>d</w:t>
      </w:r>
      <w:r w:rsidRPr="00816F71">
        <w:rPr>
          <w:rFonts w:ascii="Times New Roman" w:hAnsi="Times New Roman" w:cs="Times New Roman"/>
          <w:sz w:val="24"/>
          <w:szCs w:val="24"/>
        </w:rPr>
        <w:t>*(2380</w:t>
      </w:r>
      <w:r>
        <w:rPr>
          <w:rFonts w:ascii="Times New Roman" w:hAnsi="Times New Roman" w:cs="Times New Roman"/>
          <w:sz w:val="24"/>
          <w:szCs w:val="24"/>
        </w:rPr>
        <w:t xml:space="preserve">). </w:t>
      </w:r>
    </w:p>
    <w:p w14:paraId="53A73F19" w14:textId="77777777" w:rsidR="006F45DA" w:rsidRPr="00DF3CCC" w:rsidRDefault="006F45DA" w:rsidP="006F45DA">
      <w:pPr>
        <w:spacing w:after="0"/>
        <w:ind w:firstLine="708"/>
        <w:rPr>
          <w:rFonts w:ascii="Times New Roman" w:hAnsi="Times New Roman" w:cs="Times New Roman"/>
          <w:sz w:val="24"/>
          <w:szCs w:val="24"/>
        </w:rPr>
      </w:pPr>
      <w:r>
        <w:rPr>
          <w:rFonts w:ascii="Times New Roman" w:hAnsi="Times New Roman" w:cs="Times New Roman"/>
          <w:sz w:val="24"/>
          <w:szCs w:val="24"/>
        </w:rPr>
        <w:t>Результаты</w:t>
      </w:r>
      <w:r w:rsidRPr="00DF3CCC">
        <w:rPr>
          <w:rFonts w:ascii="Times New Roman" w:hAnsi="Times New Roman" w:cs="Times New Roman"/>
          <w:sz w:val="24"/>
          <w:szCs w:val="24"/>
        </w:rPr>
        <w:t xml:space="preserve"> </w:t>
      </w:r>
      <w:r>
        <w:rPr>
          <w:rFonts w:ascii="Times New Roman" w:hAnsi="Times New Roman" w:cs="Times New Roman"/>
          <w:sz w:val="24"/>
          <w:szCs w:val="24"/>
        </w:rPr>
        <w:t>опубликованы</w:t>
      </w:r>
      <w:r w:rsidRPr="00DF3CCC">
        <w:rPr>
          <w:rFonts w:ascii="Times New Roman" w:hAnsi="Times New Roman" w:cs="Times New Roman"/>
          <w:sz w:val="24"/>
          <w:szCs w:val="24"/>
        </w:rPr>
        <w:t xml:space="preserve"> </w:t>
      </w:r>
      <w:r>
        <w:rPr>
          <w:rFonts w:ascii="Times New Roman" w:hAnsi="Times New Roman" w:cs="Times New Roman"/>
          <w:sz w:val="24"/>
          <w:szCs w:val="24"/>
        </w:rPr>
        <w:t>в</w:t>
      </w:r>
      <w:r w:rsidRPr="00DF3CCC">
        <w:rPr>
          <w:rFonts w:ascii="Times New Roman" w:hAnsi="Times New Roman" w:cs="Times New Roman"/>
          <w:sz w:val="24"/>
          <w:szCs w:val="24"/>
        </w:rPr>
        <w:t xml:space="preserve"> </w:t>
      </w:r>
      <w:r>
        <w:rPr>
          <w:rFonts w:ascii="Times New Roman" w:hAnsi="Times New Roman" w:cs="Times New Roman"/>
          <w:sz w:val="24"/>
          <w:szCs w:val="24"/>
        </w:rPr>
        <w:t>статье</w:t>
      </w:r>
      <w:r w:rsidRPr="00DF3CCC">
        <w:rPr>
          <w:rFonts w:ascii="Times New Roman" w:hAnsi="Times New Roman" w:cs="Times New Roman"/>
          <w:sz w:val="24"/>
          <w:szCs w:val="24"/>
        </w:rPr>
        <w:t>:</w:t>
      </w:r>
    </w:p>
    <w:p w14:paraId="522C8AAE" w14:textId="77777777" w:rsidR="006F45DA" w:rsidRPr="00F57391" w:rsidRDefault="006F45DA" w:rsidP="006F45DA">
      <w:pPr>
        <w:ind w:firstLine="708"/>
        <w:rPr>
          <w:rFonts w:ascii="Times New Roman" w:hAnsi="Times New Roman" w:cs="Times New Roman"/>
          <w:color w:val="333333"/>
          <w:sz w:val="24"/>
          <w:szCs w:val="24"/>
          <w:shd w:val="clear" w:color="auto" w:fill="EEEEEE"/>
          <w:lang w:val="en-US"/>
        </w:rPr>
      </w:pPr>
      <w:r w:rsidRPr="00523888">
        <w:rPr>
          <w:rFonts w:ascii="Times New Roman" w:hAnsi="Times New Roman" w:cs="Times New Roman"/>
          <w:sz w:val="24"/>
          <w:szCs w:val="24"/>
          <w:lang w:val="en-US"/>
        </w:rPr>
        <w:t>M</w:t>
      </w:r>
      <w:r w:rsidRPr="006F45DA">
        <w:rPr>
          <w:rFonts w:ascii="Times New Roman" w:hAnsi="Times New Roman" w:cs="Times New Roman"/>
          <w:sz w:val="24"/>
          <w:szCs w:val="24"/>
        </w:rPr>
        <w:t xml:space="preserve">. </w:t>
      </w:r>
      <w:proofErr w:type="spellStart"/>
      <w:r w:rsidRPr="00523888">
        <w:rPr>
          <w:rFonts w:ascii="Times New Roman" w:hAnsi="Times New Roman" w:cs="Times New Roman"/>
          <w:sz w:val="24"/>
          <w:szCs w:val="24"/>
          <w:lang w:val="en-US"/>
        </w:rPr>
        <w:t>Bashkanov</w:t>
      </w:r>
      <w:proofErr w:type="spellEnd"/>
      <w:r w:rsidRPr="006F45DA">
        <w:rPr>
          <w:rFonts w:ascii="Times New Roman" w:hAnsi="Times New Roman" w:cs="Times New Roman"/>
          <w:sz w:val="24"/>
          <w:szCs w:val="24"/>
        </w:rPr>
        <w:t xml:space="preserve">, </w:t>
      </w:r>
      <w:r w:rsidRPr="00523888">
        <w:rPr>
          <w:rStyle w:val="a4"/>
          <w:rFonts w:ascii="Times New Roman" w:hAnsi="Times New Roman" w:cs="Times New Roman"/>
          <w:sz w:val="24"/>
          <w:szCs w:val="24"/>
          <w:lang w:val="en-US"/>
        </w:rPr>
        <w:t>G</w:t>
      </w:r>
      <w:r w:rsidRPr="006F45DA">
        <w:rPr>
          <w:rStyle w:val="a4"/>
          <w:rFonts w:ascii="Times New Roman" w:hAnsi="Times New Roman" w:cs="Times New Roman"/>
          <w:sz w:val="24"/>
          <w:szCs w:val="24"/>
        </w:rPr>
        <w:t>.</w:t>
      </w:r>
      <w:r w:rsidRPr="00523888">
        <w:rPr>
          <w:rStyle w:val="a4"/>
          <w:rFonts w:ascii="Times New Roman" w:hAnsi="Times New Roman" w:cs="Times New Roman"/>
          <w:sz w:val="24"/>
          <w:szCs w:val="24"/>
          <w:lang w:val="en-US"/>
        </w:rPr>
        <w:t>M</w:t>
      </w:r>
      <w:r w:rsidRPr="006F45DA">
        <w:rPr>
          <w:rStyle w:val="a4"/>
          <w:rFonts w:ascii="Times New Roman" w:hAnsi="Times New Roman" w:cs="Times New Roman"/>
          <w:sz w:val="24"/>
          <w:szCs w:val="24"/>
        </w:rPr>
        <w:t xml:space="preserve">. </w:t>
      </w:r>
      <w:proofErr w:type="spellStart"/>
      <w:r w:rsidRPr="00523888">
        <w:rPr>
          <w:rStyle w:val="a4"/>
          <w:rFonts w:ascii="Times New Roman" w:hAnsi="Times New Roman" w:cs="Times New Roman"/>
          <w:sz w:val="24"/>
          <w:szCs w:val="24"/>
          <w:lang w:val="en-US"/>
        </w:rPr>
        <w:t>Gurevich</w:t>
      </w:r>
      <w:proofErr w:type="spellEnd"/>
      <w:r w:rsidRPr="006F45DA">
        <w:rPr>
          <w:rStyle w:val="a4"/>
          <w:rFonts w:ascii="Times New Roman" w:hAnsi="Times New Roman" w:cs="Times New Roman"/>
          <w:sz w:val="24"/>
          <w:szCs w:val="24"/>
        </w:rPr>
        <w:t xml:space="preserve"> </w:t>
      </w:r>
      <w:r w:rsidRPr="00523888">
        <w:rPr>
          <w:rFonts w:ascii="Times New Roman" w:hAnsi="Times New Roman" w:cs="Times New Roman"/>
          <w:sz w:val="24"/>
          <w:szCs w:val="24"/>
          <w:lang w:val="en-US"/>
        </w:rPr>
        <w:t>et</w:t>
      </w:r>
      <w:r w:rsidRPr="006F45DA">
        <w:rPr>
          <w:rFonts w:ascii="Times New Roman" w:hAnsi="Times New Roman" w:cs="Times New Roman"/>
          <w:sz w:val="24"/>
          <w:szCs w:val="24"/>
        </w:rPr>
        <w:t xml:space="preserve"> </w:t>
      </w:r>
      <w:r w:rsidRPr="00523888">
        <w:rPr>
          <w:rFonts w:ascii="Times New Roman" w:hAnsi="Times New Roman" w:cs="Times New Roman"/>
          <w:sz w:val="24"/>
          <w:szCs w:val="24"/>
          <w:lang w:val="en-US"/>
        </w:rPr>
        <w:t>al</w:t>
      </w:r>
      <w:r w:rsidRPr="006F45DA">
        <w:rPr>
          <w:rFonts w:ascii="Times New Roman" w:hAnsi="Times New Roman" w:cs="Times New Roman"/>
          <w:sz w:val="24"/>
          <w:szCs w:val="24"/>
        </w:rPr>
        <w:t xml:space="preserve">. </w:t>
      </w:r>
      <w:r>
        <w:rPr>
          <w:rFonts w:ascii="Times New Roman" w:hAnsi="Times New Roman" w:cs="Times New Roman"/>
          <w:sz w:val="24"/>
          <w:szCs w:val="24"/>
          <w:lang w:val="en-US"/>
        </w:rPr>
        <w:t xml:space="preserve">Signatures </w:t>
      </w:r>
      <w:r w:rsidRPr="00523888">
        <w:rPr>
          <w:rFonts w:ascii="Times New Roman" w:hAnsi="Times New Roman"/>
          <w:sz w:val="24"/>
          <w:szCs w:val="24"/>
          <w:lang w:val="en-US"/>
        </w:rPr>
        <w:t>of</w:t>
      </w:r>
      <w:r w:rsidRPr="006843F7">
        <w:rPr>
          <w:rFonts w:ascii="Times New Roman" w:hAnsi="Times New Roman"/>
          <w:sz w:val="24"/>
          <w:szCs w:val="24"/>
          <w:lang w:val="en-US"/>
        </w:rPr>
        <w:t xml:space="preserve"> </w:t>
      </w:r>
      <w:r w:rsidRPr="00523888">
        <w:rPr>
          <w:rFonts w:ascii="Times New Roman" w:hAnsi="Times New Roman"/>
          <w:sz w:val="24"/>
          <w:szCs w:val="24"/>
          <w:lang w:val="en-US"/>
        </w:rPr>
        <w:t>the</w:t>
      </w:r>
      <w:r w:rsidRPr="006843F7">
        <w:rPr>
          <w:rFonts w:ascii="Times New Roman" w:hAnsi="Times New Roman"/>
          <w:sz w:val="24"/>
          <w:szCs w:val="24"/>
          <w:lang w:val="en-US"/>
        </w:rPr>
        <w:t xml:space="preserve"> </w:t>
      </w:r>
      <w:r w:rsidRPr="00523888">
        <w:rPr>
          <w:rFonts w:ascii="Times New Roman" w:hAnsi="Times New Roman"/>
          <w:i/>
          <w:sz w:val="24"/>
          <w:szCs w:val="24"/>
          <w:lang w:val="en-US"/>
        </w:rPr>
        <w:t>d</w:t>
      </w:r>
      <w:r w:rsidRPr="006843F7">
        <w:rPr>
          <w:rFonts w:ascii="Times New Roman" w:hAnsi="Times New Roman"/>
          <w:sz w:val="24"/>
          <w:szCs w:val="24"/>
          <w:lang w:val="en-US"/>
        </w:rPr>
        <w:t>*(2380)</w:t>
      </w:r>
      <w:r>
        <w:rPr>
          <w:rFonts w:ascii="Times New Roman" w:hAnsi="Times New Roman"/>
          <w:sz w:val="24"/>
          <w:szCs w:val="24"/>
          <w:lang w:val="en-US"/>
        </w:rPr>
        <w:t xml:space="preserve"> hexaquark in d (</w:t>
      </w:r>
      <w:proofErr w:type="spellStart"/>
      <w:proofErr w:type="gramStart"/>
      <w:r>
        <w:rPr>
          <w:rFonts w:ascii="Times New Roman" w:hAnsi="Times New Roman"/>
          <w:sz w:val="24"/>
          <w:szCs w:val="24"/>
          <w:lang w:val="en-US"/>
        </w:rPr>
        <w:t>γ,</w:t>
      </w:r>
      <w:r w:rsidRPr="006843F7">
        <w:rPr>
          <w:rFonts w:ascii="Times New Roman" w:hAnsi="Times New Roman"/>
          <w:sz w:val="24"/>
          <w:szCs w:val="24"/>
          <w:lang w:val="en-US"/>
        </w:rPr>
        <w:t>p</w:t>
      </w:r>
      <w:r>
        <w:rPr>
          <w:rFonts w:ascii="Times New Roman" w:hAnsi="Times New Roman"/>
          <w:sz w:val="24"/>
          <w:szCs w:val="24"/>
          <w:lang w:val="en-US"/>
        </w:rPr>
        <w:t>n</w:t>
      </w:r>
      <w:proofErr w:type="spellEnd"/>
      <w:proofErr w:type="gramEnd"/>
      <w:r>
        <w:rPr>
          <w:rFonts w:ascii="Times New Roman" w:hAnsi="Times New Roman"/>
          <w:sz w:val="24"/>
          <w:szCs w:val="24"/>
          <w:lang w:val="en-US"/>
        </w:rPr>
        <w:t>)</w:t>
      </w:r>
      <w:r w:rsidRPr="006843F7">
        <w:rPr>
          <w:rFonts w:ascii="Times New Roman" w:hAnsi="Times New Roman"/>
          <w:sz w:val="24"/>
          <w:szCs w:val="24"/>
          <w:lang w:val="en-US"/>
        </w:rPr>
        <w:t xml:space="preserve">. </w:t>
      </w:r>
      <w:r w:rsidRPr="009961D7">
        <w:rPr>
          <w:rFonts w:ascii="Times New Roman" w:hAnsi="Times New Roman" w:cs="Times New Roman"/>
          <w:sz w:val="24"/>
          <w:szCs w:val="24"/>
          <w:lang w:val="en-US"/>
        </w:rPr>
        <w:t>Phys. Rev. Let. 124, 132001 (2020).</w:t>
      </w:r>
    </w:p>
    <w:p w14:paraId="11D124EF" w14:textId="77777777" w:rsidR="006F45DA" w:rsidRDefault="006F45DA" w:rsidP="006F45DA">
      <w:pPr>
        <w:jc w:val="center"/>
        <w:rPr>
          <w:rFonts w:ascii="Times New Roman" w:hAnsi="Times New Roman" w:cs="Times New Roman"/>
          <w:sz w:val="24"/>
          <w:szCs w:val="24"/>
          <w:lang w:val="en-US"/>
        </w:rPr>
      </w:pPr>
      <w:r>
        <w:rPr>
          <w:noProof/>
        </w:rPr>
        <w:drawing>
          <wp:inline distT="0" distB="0" distL="0" distR="0" wp14:anchorId="6F19BF27" wp14:editId="49C72A10">
            <wp:extent cx="4492800" cy="298080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4492800" cy="2980800"/>
                    </a:xfrm>
                    <a:prstGeom prst="rect">
                      <a:avLst/>
                    </a:prstGeom>
                  </pic:spPr>
                </pic:pic>
              </a:graphicData>
            </a:graphic>
          </wp:inline>
        </w:drawing>
      </w:r>
    </w:p>
    <w:p w14:paraId="1F8291A2" w14:textId="77777777" w:rsidR="006F45DA" w:rsidRPr="002A6EC1" w:rsidRDefault="006F45DA" w:rsidP="006F45DA">
      <w:pPr>
        <w:rPr>
          <w:rFonts w:ascii="Times New Roman" w:hAnsi="Times New Roman" w:cs="Times New Roman"/>
          <w:sz w:val="24"/>
          <w:szCs w:val="24"/>
        </w:rPr>
      </w:pPr>
      <w:r>
        <w:rPr>
          <w:rFonts w:ascii="Times New Roman" w:hAnsi="Times New Roman" w:cs="Times New Roman"/>
          <w:sz w:val="24"/>
          <w:szCs w:val="24"/>
        </w:rPr>
        <w:t xml:space="preserve">Рис. 1. Поляризация нейтронов (красные точки) и протонов (синие точки) как функция энергии. Сплошные линии – результат аппроксимации экспериментальных данных с учетом вклада </w:t>
      </w:r>
      <w:r w:rsidRPr="00523888">
        <w:rPr>
          <w:rFonts w:ascii="Times New Roman" w:hAnsi="Times New Roman"/>
          <w:i/>
          <w:sz w:val="24"/>
          <w:szCs w:val="24"/>
          <w:lang w:val="en-US"/>
        </w:rPr>
        <w:t>d</w:t>
      </w:r>
      <w:r w:rsidRPr="002A6EC1">
        <w:rPr>
          <w:rFonts w:ascii="Times New Roman" w:hAnsi="Times New Roman"/>
          <w:sz w:val="24"/>
          <w:szCs w:val="24"/>
        </w:rPr>
        <w:t>*(2380)</w:t>
      </w:r>
      <w:r>
        <w:rPr>
          <w:rFonts w:ascii="Times New Roman" w:hAnsi="Times New Roman"/>
          <w:sz w:val="24"/>
          <w:szCs w:val="24"/>
        </w:rPr>
        <w:t>.</w:t>
      </w:r>
    </w:p>
    <w:p w14:paraId="78E61F14" w14:textId="76A5C33F" w:rsidR="00CA0EEE" w:rsidRDefault="00CA0EEE"/>
    <w:p w14:paraId="504033EF" w14:textId="53B89940" w:rsidR="002D2A6D" w:rsidRDefault="002D2A6D"/>
    <w:p w14:paraId="6BDC056A" w14:textId="72C8AA31" w:rsidR="002D2A6D" w:rsidRDefault="002D2A6D"/>
    <w:p w14:paraId="17360F37" w14:textId="3C18EB0E" w:rsidR="002D2A6D" w:rsidRDefault="002D2A6D"/>
    <w:p w14:paraId="22FE48F0" w14:textId="1040D24B" w:rsidR="00662263" w:rsidRDefault="00662263"/>
    <w:p w14:paraId="21D03614" w14:textId="77777777" w:rsidR="00662263" w:rsidRDefault="00662263"/>
    <w:p w14:paraId="4BB764E6" w14:textId="78C528FC" w:rsidR="00662263" w:rsidRPr="00486AD3" w:rsidRDefault="00087CE4" w:rsidP="005D0C02">
      <w:pPr>
        <w:pStyle w:val="a3"/>
        <w:spacing w:before="0" w:beforeAutospacing="0" w:after="0" w:afterAutospacing="0" w:line="276" w:lineRule="auto"/>
        <w:ind w:firstLine="567"/>
        <w:jc w:val="both"/>
        <w:rPr>
          <w:b/>
          <w:bCs/>
          <w:i/>
          <w:iCs/>
          <w:color w:val="000000"/>
        </w:rPr>
      </w:pPr>
      <w:r w:rsidRPr="00486AD3">
        <w:rPr>
          <w:b/>
          <w:bCs/>
          <w:i/>
          <w:iCs/>
          <w:color w:val="000000"/>
        </w:rPr>
        <w:lastRenderedPageBreak/>
        <w:t>В</w:t>
      </w:r>
      <w:r w:rsidR="00282224" w:rsidRPr="00486AD3">
        <w:rPr>
          <w:b/>
          <w:bCs/>
          <w:i/>
          <w:iCs/>
          <w:color w:val="000000"/>
        </w:rPr>
        <w:t>первые определен статистически значимым образом класс источников</w:t>
      </w:r>
      <w:r w:rsidR="00282224" w:rsidRPr="00486AD3">
        <w:rPr>
          <w:i/>
          <w:iCs/>
        </w:rPr>
        <w:t xml:space="preserve"> </w:t>
      </w:r>
      <w:r w:rsidR="00662263" w:rsidRPr="00486AD3">
        <w:rPr>
          <w:b/>
          <w:bCs/>
          <w:i/>
          <w:iCs/>
          <w:color w:val="000000"/>
        </w:rPr>
        <w:t xml:space="preserve">происхождения астрофизических нейтрино высоких энергий в центральных парсеках </w:t>
      </w:r>
      <w:proofErr w:type="spellStart"/>
      <w:r w:rsidR="00662263" w:rsidRPr="00486AD3">
        <w:rPr>
          <w:b/>
          <w:bCs/>
          <w:i/>
          <w:iCs/>
          <w:color w:val="000000"/>
        </w:rPr>
        <w:t>радиоярких</w:t>
      </w:r>
      <w:proofErr w:type="spellEnd"/>
      <w:r w:rsidR="00662263" w:rsidRPr="00486AD3">
        <w:rPr>
          <w:b/>
          <w:bCs/>
          <w:i/>
          <w:iCs/>
          <w:color w:val="000000"/>
        </w:rPr>
        <w:t xml:space="preserve"> активных галактик (совместно с АКЦ ФИАН и МФТИ).</w:t>
      </w:r>
      <w:r w:rsidR="00282224" w:rsidRPr="00486AD3">
        <w:rPr>
          <w:b/>
          <w:bCs/>
          <w:i/>
          <w:iCs/>
          <w:color w:val="000000"/>
        </w:rPr>
        <w:t xml:space="preserve"> </w:t>
      </w:r>
    </w:p>
    <w:p w14:paraId="3E6CC77C" w14:textId="77777777" w:rsidR="005D0C02" w:rsidRPr="005D0C02" w:rsidRDefault="005D0C02" w:rsidP="005D0C02">
      <w:pPr>
        <w:pStyle w:val="a3"/>
        <w:spacing w:before="0" w:beforeAutospacing="0" w:after="0" w:afterAutospacing="0" w:line="276" w:lineRule="auto"/>
        <w:ind w:firstLine="567"/>
        <w:jc w:val="both"/>
        <w:rPr>
          <w:b/>
          <w:bCs/>
          <w:color w:val="000000"/>
        </w:rPr>
      </w:pPr>
    </w:p>
    <w:p w14:paraId="55A697E8" w14:textId="77777777" w:rsidR="00662263" w:rsidRPr="00662263" w:rsidRDefault="00662263" w:rsidP="00662263">
      <w:pPr>
        <w:ind w:firstLine="567"/>
        <w:jc w:val="both"/>
        <w:rPr>
          <w:rFonts w:ascii="Times New Roman" w:hAnsi="Times New Roman" w:cs="Times New Roman"/>
          <w:sz w:val="24"/>
          <w:szCs w:val="24"/>
        </w:rPr>
      </w:pPr>
      <w:r w:rsidRPr="00662263">
        <w:rPr>
          <w:rFonts w:ascii="Times New Roman" w:hAnsi="Times New Roman" w:cs="Times New Roman"/>
          <w:sz w:val="24"/>
          <w:szCs w:val="24"/>
        </w:rPr>
        <w:t xml:space="preserve">Нейтрино высоких энергий внеземного происхождения были обнаружены экспериментом </w:t>
      </w:r>
      <w:proofErr w:type="spellStart"/>
      <w:r w:rsidRPr="00662263">
        <w:rPr>
          <w:rFonts w:ascii="Times New Roman" w:hAnsi="Times New Roman" w:cs="Times New Roman"/>
          <w:sz w:val="24"/>
          <w:szCs w:val="24"/>
        </w:rPr>
        <w:t>IceCube</w:t>
      </w:r>
      <w:proofErr w:type="spellEnd"/>
      <w:r w:rsidRPr="00662263">
        <w:rPr>
          <w:rFonts w:ascii="Times New Roman" w:hAnsi="Times New Roman" w:cs="Times New Roman"/>
          <w:sz w:val="24"/>
          <w:szCs w:val="24"/>
        </w:rPr>
        <w:t xml:space="preserve"> в 2013 году. С тех пор в этом эксперименте зарегистрированы сотни таких частиц. Происхождение их остается загадкой – хотя нейтрино распространяются прямолинейно и должны, с точностью до ошибок реконструкции, указывать на их астрофизические источники, все предыдущие попытки отождествить класс объектов, способных излучать нейтрино таких энергий, были неуспешны. Лишь для одного нейтрино был найден, по сопутствующему гамма-излучению, вероятный источник – далекий квазар, - в то время как для десятков подобных событий аналогичный анализ источников не выявил.</w:t>
      </w:r>
    </w:p>
    <w:p w14:paraId="731E7CA4" w14:textId="2A3E6E87" w:rsidR="00662263" w:rsidRDefault="00662263" w:rsidP="00662263">
      <w:pPr>
        <w:ind w:firstLine="567"/>
        <w:jc w:val="both"/>
        <w:rPr>
          <w:rFonts w:ascii="Times New Roman" w:hAnsi="Times New Roman" w:cs="Times New Roman"/>
          <w:sz w:val="24"/>
          <w:szCs w:val="24"/>
        </w:rPr>
      </w:pPr>
      <w:r w:rsidRPr="00662263">
        <w:rPr>
          <w:rFonts w:ascii="Times New Roman" w:hAnsi="Times New Roman" w:cs="Times New Roman"/>
          <w:sz w:val="24"/>
          <w:szCs w:val="24"/>
        </w:rPr>
        <w:t xml:space="preserve">В нашей работе был впервые определен статистически значимым образом класс источников нейтрино с энергиями выше 200 ТэВ. Использование вместо традиционно применявшегося гамма-излучения данных </w:t>
      </w:r>
      <w:proofErr w:type="spellStart"/>
      <w:r w:rsidRPr="00662263">
        <w:rPr>
          <w:rFonts w:ascii="Times New Roman" w:hAnsi="Times New Roman" w:cs="Times New Roman"/>
          <w:sz w:val="24"/>
          <w:szCs w:val="24"/>
        </w:rPr>
        <w:t>радиоинтерферометрии</w:t>
      </w:r>
      <w:proofErr w:type="spellEnd"/>
      <w:r w:rsidRPr="00662263">
        <w:rPr>
          <w:rFonts w:ascii="Times New Roman" w:hAnsi="Times New Roman" w:cs="Times New Roman"/>
          <w:sz w:val="24"/>
          <w:szCs w:val="24"/>
        </w:rPr>
        <w:t xml:space="preserve"> со сверхдлинными базами, обеспечивающей лучшее в астрономии угловое разрешение, позволило установить связь нейтрино с центральными парсеками </w:t>
      </w:r>
      <w:proofErr w:type="spellStart"/>
      <w:r w:rsidRPr="00662263">
        <w:rPr>
          <w:rFonts w:ascii="Times New Roman" w:hAnsi="Times New Roman" w:cs="Times New Roman"/>
          <w:sz w:val="24"/>
          <w:szCs w:val="24"/>
        </w:rPr>
        <w:t>радиоярких</w:t>
      </w:r>
      <w:proofErr w:type="spellEnd"/>
      <w:r w:rsidRPr="00662263">
        <w:rPr>
          <w:rFonts w:ascii="Times New Roman" w:hAnsi="Times New Roman" w:cs="Times New Roman"/>
          <w:sz w:val="24"/>
          <w:szCs w:val="24"/>
        </w:rPr>
        <w:t xml:space="preserve"> квазаров. Более того, данные регулярного мониторинга таких объектов на радиотелескопе РАТАН-600 САО РАН позволили связать моменты прихода нейтрино с </w:t>
      </w:r>
      <w:proofErr w:type="spellStart"/>
      <w:r w:rsidRPr="00662263">
        <w:rPr>
          <w:rFonts w:ascii="Times New Roman" w:hAnsi="Times New Roman" w:cs="Times New Roman"/>
          <w:sz w:val="24"/>
          <w:szCs w:val="24"/>
        </w:rPr>
        <w:t>радиовспышками</w:t>
      </w:r>
      <w:proofErr w:type="spellEnd"/>
      <w:r w:rsidRPr="00662263">
        <w:rPr>
          <w:rFonts w:ascii="Times New Roman" w:hAnsi="Times New Roman" w:cs="Times New Roman"/>
          <w:sz w:val="24"/>
          <w:szCs w:val="24"/>
        </w:rPr>
        <w:t xml:space="preserve"> в этих объектах (см. рис.). Нейтрино рождаются во взаимодействиях высокоэнергичных протонов с излучением на расстоянии, не превышающем несколько световых лет, от сверхмассивных черных дыр, находящихся в центрах этих далеких активных галактик.</w:t>
      </w:r>
    </w:p>
    <w:p w14:paraId="38230B2F" w14:textId="29275D99" w:rsidR="00662263" w:rsidRPr="00662263" w:rsidRDefault="00662263" w:rsidP="009961D7">
      <w:pPr>
        <w:ind w:hanging="426"/>
        <w:jc w:val="center"/>
        <w:rPr>
          <w:rFonts w:ascii="Times New Roman" w:hAnsi="Times New Roman" w:cs="Times New Roman"/>
          <w:sz w:val="24"/>
          <w:szCs w:val="24"/>
        </w:rPr>
      </w:pPr>
      <w:r>
        <w:rPr>
          <w:noProof/>
          <w:lang w:eastAsia="ru-RU"/>
        </w:rPr>
        <w:drawing>
          <wp:inline distT="0" distB="0" distL="0" distR="0" wp14:anchorId="663E8747" wp14:editId="26926472">
            <wp:extent cx="3442855" cy="2589694"/>
            <wp:effectExtent l="0" t="0" r="571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450405" cy="2595373"/>
                    </a:xfrm>
                    <a:prstGeom prst="rect">
                      <a:avLst/>
                    </a:prstGeom>
                    <a:noFill/>
                    <a:ln w="9525">
                      <a:noFill/>
                      <a:miter lim="800000"/>
                      <a:headEnd/>
                      <a:tailEnd/>
                    </a:ln>
                  </pic:spPr>
                </pic:pic>
              </a:graphicData>
            </a:graphic>
          </wp:inline>
        </w:drawing>
      </w:r>
    </w:p>
    <w:p w14:paraId="73A085DA" w14:textId="77777777" w:rsidR="00662263" w:rsidRPr="00662263" w:rsidRDefault="00662263" w:rsidP="00662263">
      <w:pPr>
        <w:ind w:firstLine="567"/>
        <w:jc w:val="both"/>
        <w:rPr>
          <w:rFonts w:ascii="Times New Roman" w:hAnsi="Times New Roman" w:cs="Times New Roman"/>
          <w:sz w:val="24"/>
          <w:szCs w:val="24"/>
        </w:rPr>
      </w:pPr>
      <w:r w:rsidRPr="00662263">
        <w:rPr>
          <w:rFonts w:ascii="Times New Roman" w:hAnsi="Times New Roman" w:cs="Times New Roman"/>
          <w:sz w:val="24"/>
          <w:szCs w:val="24"/>
        </w:rPr>
        <w:t>Результаты работы освещены в совместном пресс-релизе ИЯИ РАН, ФИАН и МФТИ; им были посвящены десятки публикаций в СМИ в России и за рубежом в мае 2020 г.</w:t>
      </w:r>
    </w:p>
    <w:p w14:paraId="703BFA26" w14:textId="77777777" w:rsidR="00662263" w:rsidRPr="00DF1E99" w:rsidRDefault="00662263" w:rsidP="00662263">
      <w:pPr>
        <w:rPr>
          <w:rFonts w:ascii="Constantia" w:hAnsi="Constantia"/>
          <w:lang w:val="en-US"/>
        </w:rPr>
      </w:pPr>
      <w:r w:rsidRPr="00DF1E99">
        <w:rPr>
          <w:rFonts w:ascii="Constantia" w:hAnsi="Constantia"/>
        </w:rPr>
        <w:t>Публикация</w:t>
      </w:r>
      <w:r w:rsidRPr="00DF1E99">
        <w:rPr>
          <w:rFonts w:ascii="Constantia" w:hAnsi="Constantia"/>
          <w:lang w:val="en-US"/>
        </w:rPr>
        <w:t>:</w:t>
      </w:r>
    </w:p>
    <w:p w14:paraId="47F86AAE" w14:textId="77777777" w:rsidR="00662263" w:rsidRPr="00DF1E99" w:rsidRDefault="00662263" w:rsidP="00662263">
      <w:pPr>
        <w:rPr>
          <w:rFonts w:ascii="Constantia" w:hAnsi="Constantia"/>
          <w:lang w:val="en-US"/>
        </w:rPr>
      </w:pPr>
      <w:r w:rsidRPr="00E503F7">
        <w:rPr>
          <w:rFonts w:ascii="Constantia" w:hAnsi="Constantia"/>
          <w:lang w:val="en-US"/>
        </w:rPr>
        <w:t>Observational evidence for the origin of high-energy neutrinos in parsec-scale nuclei of radio-bright active galaxies</w:t>
      </w:r>
      <w:r w:rsidRPr="00DF1E99">
        <w:rPr>
          <w:rFonts w:ascii="Constantia" w:hAnsi="Constantia"/>
          <w:lang w:val="en-US"/>
        </w:rPr>
        <w:t xml:space="preserve">. By </w:t>
      </w:r>
      <w:r>
        <w:rPr>
          <w:rFonts w:ascii="Constantia" w:hAnsi="Constantia"/>
          <w:lang w:val="en-US"/>
        </w:rPr>
        <w:t xml:space="preserve">A.V. </w:t>
      </w:r>
      <w:proofErr w:type="spellStart"/>
      <w:r>
        <w:rPr>
          <w:rFonts w:ascii="Constantia" w:hAnsi="Constantia"/>
          <w:lang w:val="en-US"/>
        </w:rPr>
        <w:t>Plavin</w:t>
      </w:r>
      <w:proofErr w:type="spellEnd"/>
      <w:r w:rsidRPr="00DF1E99">
        <w:rPr>
          <w:rFonts w:ascii="Constantia" w:hAnsi="Constantia"/>
          <w:lang w:val="en-US"/>
        </w:rPr>
        <w:t xml:space="preserve">, Y.Y. </w:t>
      </w:r>
      <w:proofErr w:type="spellStart"/>
      <w:r w:rsidRPr="00DF1E99">
        <w:rPr>
          <w:rFonts w:ascii="Constantia" w:hAnsi="Constantia"/>
          <w:lang w:val="en-US"/>
        </w:rPr>
        <w:t>Kovalev</w:t>
      </w:r>
      <w:proofErr w:type="spellEnd"/>
      <w:r w:rsidRPr="00DF1E99">
        <w:rPr>
          <w:rFonts w:ascii="Constantia" w:hAnsi="Constantia"/>
          <w:lang w:val="en-US"/>
        </w:rPr>
        <w:t xml:space="preserve">, </w:t>
      </w:r>
      <w:r>
        <w:rPr>
          <w:rFonts w:ascii="Constantia" w:hAnsi="Constantia"/>
          <w:lang w:val="en-US"/>
        </w:rPr>
        <w:t xml:space="preserve">Y.A. </w:t>
      </w:r>
      <w:proofErr w:type="spellStart"/>
      <w:r>
        <w:rPr>
          <w:rFonts w:ascii="Constantia" w:hAnsi="Constantia"/>
          <w:lang w:val="en-US"/>
        </w:rPr>
        <w:t>Kovalev</w:t>
      </w:r>
      <w:proofErr w:type="spellEnd"/>
      <w:r w:rsidRPr="00DF1E99">
        <w:rPr>
          <w:rFonts w:ascii="Constantia" w:hAnsi="Constantia"/>
          <w:lang w:val="en-US"/>
        </w:rPr>
        <w:t xml:space="preserve">, S.V. </w:t>
      </w:r>
      <w:proofErr w:type="spellStart"/>
      <w:r w:rsidRPr="00DF1E99">
        <w:rPr>
          <w:rFonts w:ascii="Constantia" w:hAnsi="Constantia"/>
          <w:lang w:val="en-US"/>
        </w:rPr>
        <w:t>Troitsky</w:t>
      </w:r>
      <w:proofErr w:type="spellEnd"/>
      <w:r w:rsidRPr="00DF1E99">
        <w:rPr>
          <w:rFonts w:ascii="Constantia" w:hAnsi="Constantia"/>
          <w:lang w:val="en-US"/>
        </w:rPr>
        <w:t xml:space="preserve">. </w:t>
      </w:r>
      <w:proofErr w:type="spellStart"/>
      <w:r w:rsidRPr="00E503F7">
        <w:rPr>
          <w:rFonts w:ascii="Constantia" w:hAnsi="Constantia"/>
          <w:i/>
          <w:lang w:val="en-US"/>
        </w:rPr>
        <w:t>Astrophys</w:t>
      </w:r>
      <w:proofErr w:type="spellEnd"/>
      <w:r w:rsidRPr="00E503F7">
        <w:rPr>
          <w:rFonts w:ascii="Constantia" w:hAnsi="Constantia"/>
          <w:i/>
          <w:lang w:val="en-US"/>
        </w:rPr>
        <w:t>. J.</w:t>
      </w:r>
      <w:r>
        <w:rPr>
          <w:rFonts w:ascii="Constantia" w:hAnsi="Constantia"/>
          <w:lang w:val="en-US"/>
        </w:rPr>
        <w:t xml:space="preserve"> </w:t>
      </w:r>
      <w:r w:rsidRPr="00E503F7">
        <w:rPr>
          <w:rFonts w:ascii="Constantia" w:hAnsi="Constantia"/>
          <w:b/>
          <w:lang w:val="en-US"/>
        </w:rPr>
        <w:t>894</w:t>
      </w:r>
      <w:r>
        <w:rPr>
          <w:rFonts w:ascii="Constantia" w:hAnsi="Constantia"/>
          <w:lang w:val="en-US"/>
        </w:rPr>
        <w:t xml:space="preserve"> (2020) 101.</w:t>
      </w:r>
      <w:r w:rsidRPr="00DF1E99">
        <w:rPr>
          <w:rFonts w:ascii="Constantia" w:hAnsi="Constantia"/>
          <w:lang w:val="en-US"/>
        </w:rPr>
        <w:t xml:space="preserve"> </w:t>
      </w:r>
      <w:proofErr w:type="spellStart"/>
      <w:r w:rsidRPr="00DF1E99">
        <w:rPr>
          <w:rFonts w:ascii="Constantia" w:hAnsi="Constantia"/>
          <w:lang w:val="en-US"/>
        </w:rPr>
        <w:t>doi</w:t>
      </w:r>
      <w:proofErr w:type="spellEnd"/>
      <w:r w:rsidRPr="00DF1E99">
        <w:rPr>
          <w:rFonts w:ascii="Constantia" w:hAnsi="Constantia"/>
          <w:lang w:val="en-US"/>
        </w:rPr>
        <w:t>:</w:t>
      </w:r>
      <w:r w:rsidRPr="00E503F7">
        <w:t xml:space="preserve"> </w:t>
      </w:r>
      <w:hyperlink r:id="rId7" w:tgtFrame="_blank" w:history="1">
        <w:r>
          <w:rPr>
            <w:rStyle w:val="a7"/>
          </w:rPr>
          <w:t>10.3847/1538-4357/ab86bd</w:t>
        </w:r>
      </w:hyperlink>
      <w:r w:rsidRPr="00DF1E99">
        <w:rPr>
          <w:rFonts w:ascii="Constantia" w:hAnsi="Constantia"/>
          <w:lang w:val="en-US"/>
        </w:rPr>
        <w:t xml:space="preserve"> . </w:t>
      </w:r>
      <w:proofErr w:type="spellStart"/>
      <w:r w:rsidRPr="00DF1E99">
        <w:rPr>
          <w:rFonts w:ascii="Constantia" w:hAnsi="Constantia"/>
          <w:lang w:val="en-US"/>
        </w:rPr>
        <w:t>arXiv</w:t>
      </w:r>
      <w:proofErr w:type="spellEnd"/>
      <w:r w:rsidRPr="00DF1E99">
        <w:rPr>
          <w:rFonts w:ascii="Constantia" w:hAnsi="Constantia"/>
          <w:lang w:val="en-US"/>
        </w:rPr>
        <w:t>:</w:t>
      </w:r>
      <w:r w:rsidRPr="00E503F7">
        <w:rPr>
          <w:rFonts w:ascii="Constantia" w:hAnsi="Constantia"/>
          <w:lang w:val="en-US"/>
        </w:rPr>
        <w:t xml:space="preserve"> </w:t>
      </w:r>
      <w:r>
        <w:rPr>
          <w:rFonts w:ascii="Constantia" w:hAnsi="Constantia"/>
          <w:lang w:val="en-US"/>
        </w:rPr>
        <w:t>2001.00930</w:t>
      </w:r>
    </w:p>
    <w:p w14:paraId="3FF2BD45" w14:textId="0DA76D98" w:rsidR="00662263" w:rsidRPr="00E503F7" w:rsidRDefault="00662263" w:rsidP="00662263">
      <w:pPr>
        <w:rPr>
          <w:lang w:val="en-US"/>
        </w:rPr>
      </w:pPr>
    </w:p>
    <w:p w14:paraId="64A80446" w14:textId="056B42E9" w:rsidR="00662263" w:rsidRDefault="00662263">
      <w:r>
        <w:br w:type="page"/>
      </w:r>
    </w:p>
    <w:p w14:paraId="29B79D16" w14:textId="5053F8C5" w:rsidR="002D2A6D" w:rsidRPr="00486AD3" w:rsidRDefault="002D2A6D" w:rsidP="002D2A6D">
      <w:pPr>
        <w:ind w:firstLine="708"/>
        <w:jc w:val="both"/>
        <w:rPr>
          <w:rFonts w:ascii="Times New Roman" w:hAnsi="Times New Roman" w:cs="Times New Roman"/>
          <w:b/>
          <w:i/>
          <w:iCs/>
          <w:sz w:val="24"/>
          <w:szCs w:val="24"/>
        </w:rPr>
      </w:pPr>
      <w:r w:rsidRPr="00486AD3">
        <w:rPr>
          <w:rFonts w:ascii="Times New Roman" w:hAnsi="Times New Roman" w:cs="Times New Roman"/>
          <w:b/>
          <w:i/>
          <w:iCs/>
          <w:sz w:val="24"/>
          <w:szCs w:val="24"/>
        </w:rPr>
        <w:lastRenderedPageBreak/>
        <w:t xml:space="preserve">Впервые наблюден остаточный спектр антинейтрино от отработанного топлива в коллаборации </w:t>
      </w:r>
      <w:proofErr w:type="spellStart"/>
      <w:r w:rsidRPr="00486AD3">
        <w:rPr>
          <w:rFonts w:ascii="Times New Roman" w:hAnsi="Times New Roman" w:cs="Times New Roman"/>
          <w:b/>
          <w:i/>
          <w:iCs/>
          <w:sz w:val="24"/>
          <w:szCs w:val="24"/>
        </w:rPr>
        <w:t>Double</w:t>
      </w:r>
      <w:proofErr w:type="spellEnd"/>
      <w:r w:rsidRPr="00486AD3">
        <w:rPr>
          <w:rFonts w:ascii="Times New Roman" w:hAnsi="Times New Roman" w:cs="Times New Roman"/>
          <w:b/>
          <w:i/>
          <w:iCs/>
          <w:sz w:val="24"/>
          <w:szCs w:val="24"/>
        </w:rPr>
        <w:t xml:space="preserve"> </w:t>
      </w:r>
      <w:proofErr w:type="spellStart"/>
      <w:r w:rsidRPr="00486AD3">
        <w:rPr>
          <w:rFonts w:ascii="Times New Roman" w:hAnsi="Times New Roman" w:cs="Times New Roman"/>
          <w:b/>
          <w:i/>
          <w:iCs/>
          <w:sz w:val="24"/>
          <w:szCs w:val="24"/>
        </w:rPr>
        <w:t>Chooz</w:t>
      </w:r>
      <w:proofErr w:type="spellEnd"/>
      <w:r w:rsidRPr="00486AD3">
        <w:rPr>
          <w:rFonts w:ascii="Times New Roman" w:hAnsi="Times New Roman" w:cs="Times New Roman"/>
          <w:b/>
          <w:i/>
          <w:iCs/>
          <w:sz w:val="24"/>
          <w:szCs w:val="24"/>
        </w:rPr>
        <w:t xml:space="preserve">. </w:t>
      </w:r>
    </w:p>
    <w:p w14:paraId="2FDA7077" w14:textId="216506E6" w:rsidR="00982E37" w:rsidRPr="006C5938" w:rsidRDefault="006C5938" w:rsidP="00982E37">
      <w:pPr>
        <w:pStyle w:val="a5"/>
        <w:jc w:val="both"/>
        <w:rPr>
          <w:rFonts w:ascii="Times New Roman" w:hAnsi="Times New Roman"/>
          <w:szCs w:val="24"/>
        </w:rPr>
      </w:pPr>
      <w:r>
        <w:rPr>
          <w:rFonts w:ascii="Times New Roman" w:hAnsi="Times New Roman"/>
          <w:szCs w:val="24"/>
        </w:rPr>
        <w:t xml:space="preserve">Отличие </w:t>
      </w:r>
      <w:proofErr w:type="spellStart"/>
      <w:r>
        <w:rPr>
          <w:rFonts w:ascii="Times New Roman" w:hAnsi="Times New Roman"/>
          <w:szCs w:val="24"/>
        </w:rPr>
        <w:t>Double</w:t>
      </w:r>
      <w:proofErr w:type="spellEnd"/>
      <w:r w:rsidR="00982E37">
        <w:rPr>
          <w:rFonts w:ascii="Times New Roman" w:hAnsi="Times New Roman"/>
          <w:szCs w:val="24"/>
        </w:rPr>
        <w:t xml:space="preserve"> </w:t>
      </w:r>
      <w:proofErr w:type="spellStart"/>
      <w:r w:rsidR="00982E37" w:rsidRPr="006C5938">
        <w:rPr>
          <w:rFonts w:ascii="Times New Roman" w:hAnsi="Times New Roman"/>
          <w:szCs w:val="24"/>
        </w:rPr>
        <w:t>Chooz</w:t>
      </w:r>
      <w:proofErr w:type="spellEnd"/>
      <w:r w:rsidR="00982E37" w:rsidRPr="00F87983">
        <w:rPr>
          <w:rFonts w:ascii="Times New Roman" w:hAnsi="Times New Roman"/>
          <w:szCs w:val="24"/>
        </w:rPr>
        <w:t xml:space="preserve"> от других экспериментов по измерению угла смешивания нейтрино </w:t>
      </w:r>
      <w:r w:rsidR="00982E37" w:rsidRPr="006C5938">
        <w:rPr>
          <w:rFonts w:ascii="Times New Roman" w:hAnsi="Times New Roman"/>
          <w:szCs w:val="24"/>
        </w:rPr>
        <w:t>θ13</w:t>
      </w:r>
      <w:r w:rsidR="00982E37" w:rsidRPr="00F87983">
        <w:rPr>
          <w:rFonts w:ascii="Times New Roman" w:hAnsi="Times New Roman"/>
          <w:szCs w:val="24"/>
        </w:rPr>
        <w:t xml:space="preserve"> заключается в малом количестве ядерных реакторов (два), что позволяет измерить фоны детектора гораздо лучше, чем в других экспериментах. В 2017 году случилась остановка обоих реакторов одновременно на 20 дней, в течение которых был тщательно измерен фон. При этом обнаружился дополнительный фон, </w:t>
      </w:r>
      <w:r w:rsidR="00982E37" w:rsidRPr="006B5309">
        <w:rPr>
          <w:rFonts w:ascii="Times New Roman" w:hAnsi="Times New Roman"/>
          <w:szCs w:val="24"/>
        </w:rPr>
        <w:t xml:space="preserve">который можно ассоциировать с остаточным </w:t>
      </w:r>
      <w:proofErr w:type="spellStart"/>
      <w:r w:rsidR="00982E37" w:rsidRPr="006B5309">
        <w:rPr>
          <w:rFonts w:ascii="Times New Roman" w:hAnsi="Times New Roman"/>
          <w:szCs w:val="24"/>
        </w:rPr>
        <w:t>антинейтринным</w:t>
      </w:r>
      <w:proofErr w:type="spellEnd"/>
      <w:r w:rsidR="00982E37" w:rsidRPr="006B5309">
        <w:rPr>
          <w:rFonts w:ascii="Times New Roman" w:hAnsi="Times New Roman"/>
          <w:szCs w:val="24"/>
        </w:rPr>
        <w:t xml:space="preserve"> излучением долгоживущих осколков: </w:t>
      </w:r>
      <w:r w:rsidR="00982E37" w:rsidRPr="006C5938">
        <w:rPr>
          <w:rFonts w:ascii="Times New Roman" w:hAnsi="Times New Roman"/>
          <w:szCs w:val="24"/>
        </w:rPr>
        <w:t>90</w:t>
      </w:r>
      <w:r w:rsidR="00982E37" w:rsidRPr="006B5309">
        <w:rPr>
          <w:rFonts w:ascii="Times New Roman" w:hAnsi="Times New Roman"/>
          <w:szCs w:val="24"/>
        </w:rPr>
        <w:t>Sr-</w:t>
      </w:r>
      <w:r w:rsidR="00982E37" w:rsidRPr="006C5938">
        <w:rPr>
          <w:rFonts w:ascii="Times New Roman" w:hAnsi="Times New Roman"/>
          <w:szCs w:val="24"/>
        </w:rPr>
        <w:t>90</w:t>
      </w:r>
      <w:bookmarkStart w:id="1" w:name="__DdeLink__188_2332651849"/>
      <w:r w:rsidR="009961D7" w:rsidRPr="006B5309">
        <w:rPr>
          <w:rFonts w:ascii="Times New Roman" w:hAnsi="Times New Roman"/>
          <w:szCs w:val="24"/>
        </w:rPr>
        <w:t>Y, 106</w:t>
      </w:r>
      <w:r w:rsidR="00982E37" w:rsidRPr="006B5309">
        <w:rPr>
          <w:rFonts w:ascii="Times New Roman" w:hAnsi="Times New Roman"/>
          <w:szCs w:val="24"/>
        </w:rPr>
        <w:t>Ru-</w:t>
      </w:r>
      <w:r w:rsidR="00982E37" w:rsidRPr="006C5938">
        <w:rPr>
          <w:rFonts w:ascii="Times New Roman" w:hAnsi="Times New Roman"/>
          <w:szCs w:val="24"/>
        </w:rPr>
        <w:t>106</w:t>
      </w:r>
      <w:bookmarkEnd w:id="1"/>
      <w:r w:rsidR="009961D7" w:rsidRPr="006B5309">
        <w:rPr>
          <w:rFonts w:ascii="Times New Roman" w:hAnsi="Times New Roman"/>
          <w:szCs w:val="24"/>
        </w:rPr>
        <w:t>Rh, 144</w:t>
      </w:r>
      <w:r w:rsidR="00982E37" w:rsidRPr="006B5309">
        <w:rPr>
          <w:rFonts w:ascii="Times New Roman" w:hAnsi="Times New Roman"/>
          <w:szCs w:val="24"/>
        </w:rPr>
        <w:t>Ce-</w:t>
      </w:r>
      <w:r w:rsidR="00982E37" w:rsidRPr="006C5938">
        <w:rPr>
          <w:rFonts w:ascii="Times New Roman" w:hAnsi="Times New Roman"/>
          <w:szCs w:val="24"/>
        </w:rPr>
        <w:t>144</w:t>
      </w:r>
      <w:r w:rsidR="00982E37" w:rsidRPr="006B5309">
        <w:rPr>
          <w:rFonts w:ascii="Times New Roman" w:hAnsi="Times New Roman"/>
          <w:szCs w:val="24"/>
        </w:rPr>
        <w:t>Pr. Расчеты показали полное совпадение с наблюдением и по интенсивности</w:t>
      </w:r>
      <w:r w:rsidR="00982E37">
        <w:rPr>
          <w:rFonts w:ascii="Times New Roman" w:hAnsi="Times New Roman"/>
          <w:szCs w:val="24"/>
        </w:rPr>
        <w:t>,</w:t>
      </w:r>
      <w:r w:rsidR="00982E37" w:rsidRPr="006B5309">
        <w:rPr>
          <w:rFonts w:ascii="Times New Roman" w:hAnsi="Times New Roman"/>
          <w:szCs w:val="24"/>
        </w:rPr>
        <w:t xml:space="preserve"> и по форме наблюдаемого спектра.</w:t>
      </w:r>
    </w:p>
    <w:p w14:paraId="6A195494" w14:textId="77777777" w:rsidR="00982E37" w:rsidRDefault="00982E37" w:rsidP="00982E37">
      <w:pPr>
        <w:pStyle w:val="a5"/>
        <w:jc w:val="both"/>
        <w:rPr>
          <w:rFonts w:ascii="Times New Roman" w:hAnsi="Times New Roman"/>
          <w:szCs w:val="24"/>
        </w:rPr>
      </w:pPr>
    </w:p>
    <w:p w14:paraId="68CE9950" w14:textId="77777777" w:rsidR="00982E37" w:rsidRDefault="00982E37" w:rsidP="00982E37">
      <w:pPr>
        <w:pStyle w:val="a5"/>
        <w:jc w:val="both"/>
        <w:rPr>
          <w:rFonts w:ascii="Times New Roman" w:hAnsi="Times New Roman"/>
          <w:szCs w:val="24"/>
        </w:rPr>
      </w:pPr>
      <w:r w:rsidRPr="006C5938">
        <w:rPr>
          <w:rFonts w:ascii="Times New Roman" w:hAnsi="Times New Roman"/>
          <w:szCs w:val="24"/>
        </w:rPr>
        <w:drawing>
          <wp:inline distT="0" distB="3810" distL="0" distR="0" wp14:anchorId="64266118" wp14:editId="2F67D459">
            <wp:extent cx="5895975" cy="421195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pic:cNvPicPr>
                      <a:picLocks noChangeAspect="1" noChangeArrowheads="1"/>
                    </pic:cNvPicPr>
                  </pic:nvPicPr>
                  <pic:blipFill>
                    <a:blip r:embed="rId8"/>
                    <a:stretch>
                      <a:fillRect/>
                    </a:stretch>
                  </pic:blipFill>
                  <pic:spPr bwMode="auto">
                    <a:xfrm>
                      <a:off x="0" y="0"/>
                      <a:ext cx="5895975" cy="4211955"/>
                    </a:xfrm>
                    <a:prstGeom prst="rect">
                      <a:avLst/>
                    </a:prstGeom>
                  </pic:spPr>
                </pic:pic>
              </a:graphicData>
            </a:graphic>
          </wp:inline>
        </w:drawing>
      </w:r>
    </w:p>
    <w:p w14:paraId="58DC9350" w14:textId="77777777" w:rsidR="00982E37" w:rsidRDefault="00982E37" w:rsidP="00982E37">
      <w:pPr>
        <w:pStyle w:val="a5"/>
        <w:jc w:val="both"/>
        <w:rPr>
          <w:rFonts w:ascii="Times New Roman" w:hAnsi="Times New Roman"/>
          <w:szCs w:val="24"/>
        </w:rPr>
      </w:pPr>
    </w:p>
    <w:p w14:paraId="210C4A91" w14:textId="77777777" w:rsidR="00982E37" w:rsidRPr="006C5938" w:rsidRDefault="00982E37" w:rsidP="00982E37">
      <w:pPr>
        <w:pStyle w:val="a5"/>
        <w:jc w:val="both"/>
        <w:rPr>
          <w:rFonts w:ascii="Times New Roman" w:hAnsi="Times New Roman"/>
          <w:szCs w:val="24"/>
        </w:rPr>
      </w:pPr>
    </w:p>
    <w:p w14:paraId="6F9562BB" w14:textId="77777777" w:rsidR="00982E37" w:rsidRDefault="00982E37" w:rsidP="00982E37">
      <w:pPr>
        <w:pStyle w:val="a5"/>
        <w:jc w:val="both"/>
        <w:rPr>
          <w:rFonts w:ascii="Times New Roman" w:hAnsi="Times New Roman"/>
          <w:szCs w:val="24"/>
        </w:rPr>
      </w:pPr>
    </w:p>
    <w:p w14:paraId="50F999C4" w14:textId="77777777" w:rsidR="00982E37" w:rsidRPr="006C5938" w:rsidRDefault="00982E37" w:rsidP="00982E37">
      <w:pPr>
        <w:pStyle w:val="a5"/>
        <w:jc w:val="both"/>
        <w:rPr>
          <w:rFonts w:ascii="Times New Roman" w:hAnsi="Times New Roman"/>
          <w:szCs w:val="24"/>
        </w:rPr>
      </w:pPr>
      <w:r>
        <w:rPr>
          <w:rFonts w:ascii="Times New Roman" w:hAnsi="Times New Roman"/>
          <w:szCs w:val="24"/>
        </w:rPr>
        <w:t>Публикации</w:t>
      </w:r>
      <w:r w:rsidRPr="006C5938">
        <w:rPr>
          <w:rFonts w:ascii="Times New Roman" w:hAnsi="Times New Roman"/>
          <w:szCs w:val="24"/>
        </w:rPr>
        <w:t>:</w:t>
      </w:r>
    </w:p>
    <w:p w14:paraId="128CDB88" w14:textId="77777777" w:rsidR="00982E37" w:rsidRPr="00F87983" w:rsidRDefault="00982E37" w:rsidP="00982E37">
      <w:pPr>
        <w:widowControl w:val="0"/>
        <w:rPr>
          <w:lang w:val="en-US"/>
        </w:rPr>
      </w:pPr>
      <w:r w:rsidRPr="006C5938">
        <w:rPr>
          <w:rFonts w:ascii="Times New Roman" w:hAnsi="Times New Roman" w:cs="Times New Roman"/>
          <w:sz w:val="24"/>
          <w:szCs w:val="24"/>
        </w:rPr>
        <w:t xml:space="preserve">Cecile </w:t>
      </w:r>
      <w:proofErr w:type="spellStart"/>
      <w:r w:rsidRPr="006C5938">
        <w:rPr>
          <w:rFonts w:ascii="Times New Roman" w:hAnsi="Times New Roman" w:cs="Times New Roman"/>
          <w:sz w:val="24"/>
          <w:szCs w:val="24"/>
        </w:rPr>
        <w:t>Jollet</w:t>
      </w:r>
      <w:proofErr w:type="spellEnd"/>
      <w:r w:rsidRPr="006C5938">
        <w:rPr>
          <w:rFonts w:ascii="Times New Roman" w:hAnsi="Times New Roman" w:cs="Times New Roman"/>
          <w:sz w:val="24"/>
          <w:szCs w:val="24"/>
        </w:rPr>
        <w:t xml:space="preserve">, </w:t>
      </w:r>
      <w:proofErr w:type="spellStart"/>
      <w:r w:rsidRPr="006C5938">
        <w:rPr>
          <w:rFonts w:ascii="Times New Roman" w:hAnsi="Times New Roman" w:cs="Times New Roman"/>
          <w:sz w:val="24"/>
          <w:szCs w:val="24"/>
        </w:rPr>
        <w:t>Antoin</w:t>
      </w:r>
      <w:proofErr w:type="spellEnd"/>
      <w:r w:rsidRPr="006C5938">
        <w:rPr>
          <w:rFonts w:ascii="Times New Roman" w:hAnsi="Times New Roman" w:cs="Times New Roman"/>
          <w:sz w:val="24"/>
          <w:szCs w:val="24"/>
        </w:rPr>
        <w:t xml:space="preserve"> </w:t>
      </w:r>
      <w:proofErr w:type="spellStart"/>
      <w:r w:rsidRPr="006C5938">
        <w:rPr>
          <w:rFonts w:ascii="Times New Roman" w:hAnsi="Times New Roman" w:cs="Times New Roman"/>
          <w:sz w:val="24"/>
          <w:szCs w:val="24"/>
        </w:rPr>
        <w:t>Oniilon</w:t>
      </w:r>
      <w:proofErr w:type="spellEnd"/>
      <w:r w:rsidRPr="006C5938">
        <w:rPr>
          <w:rFonts w:ascii="Times New Roman" w:hAnsi="Times New Roman" w:cs="Times New Roman"/>
          <w:sz w:val="24"/>
          <w:szCs w:val="24"/>
        </w:rPr>
        <w:t xml:space="preserve"> and Valery </w:t>
      </w:r>
      <w:proofErr w:type="spellStart"/>
      <w:r w:rsidRPr="006C5938">
        <w:rPr>
          <w:rFonts w:ascii="Times New Roman" w:hAnsi="Times New Roman" w:cs="Times New Roman"/>
          <w:sz w:val="24"/>
          <w:szCs w:val="24"/>
        </w:rPr>
        <w:t>Sinev</w:t>
      </w:r>
      <w:proofErr w:type="spellEnd"/>
      <w:r w:rsidRPr="006C5938">
        <w:rPr>
          <w:rFonts w:ascii="Times New Roman" w:hAnsi="Times New Roman" w:cs="Times New Roman"/>
          <w:sz w:val="24"/>
          <w:szCs w:val="24"/>
        </w:rPr>
        <w:t xml:space="preserve"> (Collaboration Double </w:t>
      </w:r>
      <w:proofErr w:type="spellStart"/>
      <w:r w:rsidRPr="006C5938">
        <w:rPr>
          <w:rFonts w:ascii="Times New Roman" w:hAnsi="Times New Roman" w:cs="Times New Roman"/>
          <w:sz w:val="24"/>
          <w:szCs w:val="24"/>
        </w:rPr>
        <w:t>Chooz</w:t>
      </w:r>
      <w:proofErr w:type="spellEnd"/>
      <w:r w:rsidRPr="006C5938">
        <w:rPr>
          <w:rFonts w:ascii="Times New Roman" w:hAnsi="Times New Roman" w:cs="Times New Roman"/>
          <w:sz w:val="24"/>
          <w:szCs w:val="24"/>
        </w:rPr>
        <w:t xml:space="preserve">) Residual reactor antineutrinos observation with the Double </w:t>
      </w:r>
      <w:proofErr w:type="spellStart"/>
      <w:r w:rsidRPr="006C5938">
        <w:rPr>
          <w:rFonts w:ascii="Times New Roman" w:hAnsi="Times New Roman" w:cs="Times New Roman"/>
          <w:sz w:val="24"/>
          <w:szCs w:val="24"/>
        </w:rPr>
        <w:t>Chooz</w:t>
      </w:r>
      <w:proofErr w:type="spellEnd"/>
      <w:r w:rsidRPr="006C5938">
        <w:rPr>
          <w:rFonts w:ascii="Times New Roman" w:hAnsi="Times New Roman" w:cs="Times New Roman"/>
          <w:sz w:val="24"/>
          <w:szCs w:val="24"/>
        </w:rPr>
        <w:t xml:space="preserve"> detectors, Neutrino 2020 (poster session).</w:t>
      </w:r>
    </w:p>
    <w:p w14:paraId="0346F1D8" w14:textId="77777777" w:rsidR="002D2A6D" w:rsidRPr="002D2A6D" w:rsidRDefault="002D2A6D" w:rsidP="002D2A6D">
      <w:pPr>
        <w:ind w:firstLine="708"/>
        <w:jc w:val="both"/>
        <w:rPr>
          <w:rFonts w:ascii="Times New Roman" w:hAnsi="Times New Roman" w:cs="Times New Roman"/>
          <w:b/>
          <w:sz w:val="24"/>
          <w:szCs w:val="24"/>
        </w:rPr>
      </w:pPr>
    </w:p>
    <w:p w14:paraId="5E52CAFF" w14:textId="77777777" w:rsidR="006C5938" w:rsidRPr="006C5938" w:rsidRDefault="006C5938" w:rsidP="006C5938">
      <w:pPr>
        <w:spacing w:after="0" w:line="240" w:lineRule="auto"/>
        <w:ind w:left="360"/>
        <w:jc w:val="both"/>
        <w:rPr>
          <w:lang w:eastAsia="ru-RU"/>
        </w:rPr>
      </w:pPr>
    </w:p>
    <w:p w14:paraId="789E1C6A" w14:textId="77777777" w:rsidR="006C5938" w:rsidRPr="006C5938" w:rsidRDefault="006C5938" w:rsidP="006C5938">
      <w:pPr>
        <w:spacing w:after="0" w:line="240" w:lineRule="auto"/>
        <w:ind w:left="360"/>
        <w:jc w:val="both"/>
        <w:rPr>
          <w:lang w:eastAsia="ru-RU"/>
        </w:rPr>
      </w:pPr>
    </w:p>
    <w:p w14:paraId="11AEA61C" w14:textId="77777777" w:rsidR="006C5938" w:rsidRPr="006C5938" w:rsidRDefault="006C5938" w:rsidP="006C5938">
      <w:pPr>
        <w:spacing w:after="0" w:line="240" w:lineRule="auto"/>
        <w:ind w:left="360"/>
        <w:jc w:val="both"/>
        <w:rPr>
          <w:lang w:eastAsia="ru-RU"/>
        </w:rPr>
      </w:pPr>
    </w:p>
    <w:p w14:paraId="1D5FEB37" w14:textId="77777777" w:rsidR="006C5938" w:rsidRPr="006C5938" w:rsidRDefault="006C5938" w:rsidP="006C5938">
      <w:pPr>
        <w:spacing w:after="0" w:line="240" w:lineRule="auto"/>
        <w:ind w:left="360"/>
        <w:jc w:val="both"/>
        <w:rPr>
          <w:lang w:eastAsia="ru-RU"/>
        </w:rPr>
      </w:pPr>
    </w:p>
    <w:p w14:paraId="4417A11F" w14:textId="77777777" w:rsidR="006C5938" w:rsidRPr="006C5938" w:rsidRDefault="006C5938" w:rsidP="006C5938">
      <w:pPr>
        <w:spacing w:after="0" w:line="240" w:lineRule="auto"/>
        <w:ind w:left="360"/>
        <w:jc w:val="both"/>
        <w:rPr>
          <w:lang w:eastAsia="ru-RU"/>
        </w:rPr>
      </w:pPr>
    </w:p>
    <w:p w14:paraId="13622415" w14:textId="77777777" w:rsidR="006C5938" w:rsidRPr="006C5938" w:rsidRDefault="006C5938" w:rsidP="006C5938">
      <w:pPr>
        <w:spacing w:after="0" w:line="240" w:lineRule="auto"/>
        <w:ind w:left="360"/>
        <w:jc w:val="both"/>
        <w:rPr>
          <w:lang w:eastAsia="ru-RU"/>
        </w:rPr>
      </w:pPr>
    </w:p>
    <w:p w14:paraId="53DBA8C5" w14:textId="77777777" w:rsidR="006C5938" w:rsidRPr="006C5938" w:rsidRDefault="006C5938" w:rsidP="006C5938">
      <w:pPr>
        <w:spacing w:after="0" w:line="240" w:lineRule="auto"/>
        <w:ind w:left="360"/>
        <w:jc w:val="both"/>
        <w:rPr>
          <w:lang w:eastAsia="ru-RU"/>
        </w:rPr>
      </w:pPr>
    </w:p>
    <w:p w14:paraId="5EB8EB88" w14:textId="77777777" w:rsidR="006C5938" w:rsidRPr="00486AD3" w:rsidRDefault="006C5938" w:rsidP="006C5938">
      <w:pPr>
        <w:spacing w:after="0"/>
        <w:ind w:firstLine="708"/>
        <w:jc w:val="both"/>
        <w:rPr>
          <w:b/>
          <w:i/>
          <w:iCs/>
          <w:lang w:eastAsia="ru-RU"/>
        </w:rPr>
      </w:pPr>
      <w:r w:rsidRPr="00486AD3">
        <w:rPr>
          <w:rFonts w:ascii="Times New Roman" w:hAnsi="Times New Roman" w:cs="Times New Roman"/>
          <w:b/>
          <w:i/>
          <w:iCs/>
          <w:sz w:val="24"/>
          <w:szCs w:val="24"/>
        </w:rPr>
        <w:lastRenderedPageBreak/>
        <w:t>Влияние давления на волну зарядовой плотности и сверхпроводимость в 2H-TaS2.</w:t>
      </w:r>
      <w:r w:rsidRPr="00486AD3">
        <w:rPr>
          <w:b/>
          <w:i/>
          <w:iCs/>
          <w:lang w:eastAsia="ru-RU"/>
        </w:rPr>
        <w:t xml:space="preserve"> </w:t>
      </w:r>
    </w:p>
    <w:p w14:paraId="7A1BA98F" w14:textId="7730B4EB" w:rsidR="006C5938" w:rsidRDefault="006C5938" w:rsidP="006C5938">
      <w:pPr>
        <w:spacing w:after="0"/>
        <w:ind w:firstLine="708"/>
        <w:jc w:val="both"/>
        <w:rPr>
          <w:rFonts w:ascii="Times New Roman" w:hAnsi="Times New Roman" w:cs="Times New Roman"/>
          <w:sz w:val="24"/>
          <w:szCs w:val="24"/>
        </w:rPr>
      </w:pPr>
      <w:r w:rsidRPr="006C5938">
        <w:rPr>
          <w:rFonts w:ascii="Times New Roman" w:hAnsi="Times New Roman" w:cs="Times New Roman"/>
          <w:sz w:val="24"/>
          <w:szCs w:val="24"/>
        </w:rPr>
        <w:t xml:space="preserve">Вибрационные, и электрические транспортные свойства 2H-TaS2 были исследованы при высоких давлениях и криогенных температурах. Коллапс волны зарядовой плотности (CDW – </w:t>
      </w:r>
      <w:proofErr w:type="spellStart"/>
      <w:r w:rsidRPr="006C5938">
        <w:rPr>
          <w:rFonts w:ascii="Times New Roman" w:hAnsi="Times New Roman" w:cs="Times New Roman"/>
          <w:sz w:val="24"/>
          <w:szCs w:val="24"/>
        </w:rPr>
        <w:t>charge</w:t>
      </w:r>
      <w:proofErr w:type="spellEnd"/>
      <w:r w:rsidRPr="006C5938">
        <w:rPr>
          <w:rFonts w:ascii="Times New Roman" w:hAnsi="Times New Roman" w:cs="Times New Roman"/>
          <w:sz w:val="24"/>
          <w:szCs w:val="24"/>
        </w:rPr>
        <w:t xml:space="preserve"> </w:t>
      </w:r>
      <w:proofErr w:type="spellStart"/>
      <w:r w:rsidRPr="006C5938">
        <w:rPr>
          <w:rFonts w:ascii="Times New Roman" w:hAnsi="Times New Roman" w:cs="Times New Roman"/>
          <w:sz w:val="24"/>
          <w:szCs w:val="24"/>
        </w:rPr>
        <w:t>density</w:t>
      </w:r>
      <w:proofErr w:type="spellEnd"/>
      <w:r w:rsidRPr="006C5938">
        <w:rPr>
          <w:rFonts w:ascii="Times New Roman" w:hAnsi="Times New Roman" w:cs="Times New Roman"/>
          <w:sz w:val="24"/>
          <w:szCs w:val="24"/>
        </w:rPr>
        <w:t xml:space="preserve"> </w:t>
      </w:r>
      <w:proofErr w:type="spellStart"/>
      <w:r w:rsidRPr="006C5938">
        <w:rPr>
          <w:rFonts w:ascii="Times New Roman" w:hAnsi="Times New Roman" w:cs="Times New Roman"/>
          <w:sz w:val="24"/>
          <w:szCs w:val="24"/>
        </w:rPr>
        <w:t>wave</w:t>
      </w:r>
      <w:proofErr w:type="spellEnd"/>
      <w:r w:rsidRPr="006C5938">
        <w:rPr>
          <w:rFonts w:ascii="Times New Roman" w:hAnsi="Times New Roman" w:cs="Times New Roman"/>
          <w:sz w:val="24"/>
          <w:szCs w:val="24"/>
        </w:rPr>
        <w:t xml:space="preserve">) при давлениях выше 7.3 ГПа подтверждается измерениями комбинационного рассеяния, удельного сопротивления и коэффициента Холла. Для давления выше критического ~ 7.3 ГПа, температура сверхпроводящего перехода растёт и достигает своего максимального значения при ~11.5 ГПа, подразумевая, что это не простая конкуренция между состоянием волны зарядовой плотности и сверхпроводимостью. Исходя из вида температурной зависимости удельного сопротивления в нормальном состоянии (выше </w:t>
      </w:r>
      <w:proofErr w:type="spellStart"/>
      <w:r w:rsidRPr="006C5938">
        <w:rPr>
          <w:rFonts w:ascii="Times New Roman" w:hAnsi="Times New Roman" w:cs="Times New Roman"/>
          <w:sz w:val="24"/>
          <w:szCs w:val="24"/>
        </w:rPr>
        <w:t>Tc</w:t>
      </w:r>
      <w:proofErr w:type="spellEnd"/>
      <w:r w:rsidRPr="006C5938">
        <w:rPr>
          <w:rFonts w:ascii="Times New Roman" w:hAnsi="Times New Roman" w:cs="Times New Roman"/>
          <w:sz w:val="24"/>
          <w:szCs w:val="24"/>
        </w:rPr>
        <w:t xml:space="preserve">), было получено, что снижение </w:t>
      </w:r>
      <w:proofErr w:type="spellStart"/>
      <w:r w:rsidRPr="006C5938">
        <w:rPr>
          <w:rFonts w:ascii="Times New Roman" w:hAnsi="Times New Roman" w:cs="Times New Roman"/>
          <w:sz w:val="24"/>
          <w:szCs w:val="24"/>
        </w:rPr>
        <w:t>Tc</w:t>
      </w:r>
      <w:proofErr w:type="spellEnd"/>
      <w:r w:rsidRPr="006C5938">
        <w:rPr>
          <w:rFonts w:ascii="Times New Roman" w:hAnsi="Times New Roman" w:cs="Times New Roman"/>
          <w:sz w:val="24"/>
          <w:szCs w:val="24"/>
        </w:rPr>
        <w:t xml:space="preserve"> при повышении давления до 47.2 ГПа обусловлено уменьшением силы взаимодействия между носителями и увеличением их рассеяния на примесях. Эти результаты очень важны для понимания механизма сверхпроводимости </w:t>
      </w:r>
      <w:proofErr w:type="spellStart"/>
      <w:r w:rsidRPr="006C5938">
        <w:rPr>
          <w:rFonts w:ascii="Times New Roman" w:hAnsi="Times New Roman" w:cs="Times New Roman"/>
          <w:sz w:val="24"/>
          <w:szCs w:val="24"/>
        </w:rPr>
        <w:t>дихалькогенидов</w:t>
      </w:r>
      <w:proofErr w:type="spellEnd"/>
      <w:r w:rsidRPr="006C5938">
        <w:rPr>
          <w:rFonts w:ascii="Times New Roman" w:hAnsi="Times New Roman" w:cs="Times New Roman"/>
          <w:sz w:val="24"/>
          <w:szCs w:val="24"/>
        </w:rPr>
        <w:t xml:space="preserve"> переходных металлов. [1].</w:t>
      </w:r>
    </w:p>
    <w:p w14:paraId="22998685" w14:textId="77777777" w:rsidR="006C5938" w:rsidRPr="006C5938" w:rsidRDefault="006C5938" w:rsidP="006C5938">
      <w:pPr>
        <w:spacing w:after="0"/>
        <w:ind w:firstLine="708"/>
        <w:jc w:val="both"/>
        <w:rPr>
          <w:rFonts w:ascii="Times New Roman" w:hAnsi="Times New Roman" w:cs="Times New Roman"/>
          <w:sz w:val="24"/>
          <w:szCs w:val="24"/>
        </w:rPr>
      </w:pPr>
    </w:p>
    <w:p w14:paraId="1244C79E" w14:textId="793D8934" w:rsidR="006C5938" w:rsidRPr="006C5938" w:rsidRDefault="006C5938" w:rsidP="006C5938">
      <w:pPr>
        <w:spacing w:after="0"/>
        <w:jc w:val="both"/>
        <w:rPr>
          <w:rFonts w:ascii="Times New Roman" w:hAnsi="Times New Roman" w:cs="Times New Roman"/>
          <w:sz w:val="24"/>
          <w:szCs w:val="24"/>
        </w:rPr>
      </w:pPr>
      <w:r w:rsidRPr="006C5938">
        <w:rPr>
          <w:rFonts w:ascii="Times New Roman" w:hAnsi="Times New Roman" w:cs="Times New Roman"/>
          <w:sz w:val="24"/>
          <w:szCs w:val="24"/>
        </w:rPr>
        <w:drawing>
          <wp:inline distT="0" distB="0" distL="0" distR="0" wp14:anchorId="06525CA7" wp14:editId="03E4BD44">
            <wp:extent cx="2501900" cy="21443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1900" cy="2144395"/>
                    </a:xfrm>
                    <a:prstGeom prst="rect">
                      <a:avLst/>
                    </a:prstGeom>
                    <a:noFill/>
                    <a:ln>
                      <a:noFill/>
                    </a:ln>
                  </pic:spPr>
                </pic:pic>
              </a:graphicData>
            </a:graphic>
          </wp:inline>
        </w:drawing>
      </w:r>
      <w:r w:rsidRPr="006C5938">
        <w:rPr>
          <w:rFonts w:ascii="Times New Roman" w:hAnsi="Times New Roman" w:cs="Times New Roman"/>
          <w:sz w:val="24"/>
          <w:szCs w:val="24"/>
        </w:rPr>
        <w:t xml:space="preserve">  </w:t>
      </w:r>
      <w:r w:rsidRPr="006C5938">
        <w:rPr>
          <w:rFonts w:ascii="Times New Roman" w:hAnsi="Times New Roman" w:cs="Times New Roman"/>
          <w:sz w:val="24"/>
          <w:szCs w:val="24"/>
        </w:rPr>
        <w:drawing>
          <wp:inline distT="0" distB="0" distL="0" distR="0" wp14:anchorId="20B9270C" wp14:editId="06EEBB49">
            <wp:extent cx="3108960" cy="21361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8960" cy="2136140"/>
                    </a:xfrm>
                    <a:prstGeom prst="rect">
                      <a:avLst/>
                    </a:prstGeom>
                    <a:noFill/>
                    <a:ln>
                      <a:noFill/>
                    </a:ln>
                  </pic:spPr>
                </pic:pic>
              </a:graphicData>
            </a:graphic>
          </wp:inline>
        </w:drawing>
      </w:r>
      <w:r w:rsidRPr="006C5938">
        <w:rPr>
          <w:rFonts w:ascii="Times New Roman" w:hAnsi="Times New Roman" w:cs="Times New Roman"/>
          <w:sz w:val="24"/>
          <w:szCs w:val="24"/>
        </w:rPr>
        <w:t xml:space="preserve">  </w:t>
      </w:r>
    </w:p>
    <w:p w14:paraId="73AAA4D4" w14:textId="6FE63260" w:rsidR="006C5938" w:rsidRDefault="006C5938" w:rsidP="006C5938">
      <w:pPr>
        <w:spacing w:after="0"/>
        <w:ind w:firstLine="708"/>
        <w:jc w:val="both"/>
        <w:rPr>
          <w:rFonts w:ascii="Times New Roman" w:hAnsi="Times New Roman" w:cs="Times New Roman"/>
          <w:sz w:val="24"/>
          <w:szCs w:val="24"/>
        </w:rPr>
      </w:pPr>
      <w:r w:rsidRPr="006C5938">
        <w:rPr>
          <w:rFonts w:ascii="Times New Roman" w:hAnsi="Times New Roman" w:cs="Times New Roman"/>
          <w:sz w:val="24"/>
          <w:szCs w:val="24"/>
        </w:rPr>
        <w:t xml:space="preserve"> </w:t>
      </w:r>
      <w:r w:rsidRPr="006C5938">
        <w:rPr>
          <w:rFonts w:ascii="Times New Roman" w:hAnsi="Times New Roman" w:cs="Times New Roman"/>
          <w:sz w:val="24"/>
          <w:szCs w:val="24"/>
        </w:rPr>
        <w:tab/>
      </w:r>
      <w:r w:rsidRPr="006C5938">
        <w:rPr>
          <w:rFonts w:ascii="Times New Roman" w:hAnsi="Times New Roman" w:cs="Times New Roman"/>
          <w:sz w:val="24"/>
          <w:szCs w:val="24"/>
        </w:rPr>
        <w:tab/>
        <w:t xml:space="preserve">(a) </w:t>
      </w:r>
      <w:r w:rsidRPr="006C5938">
        <w:rPr>
          <w:rFonts w:ascii="Times New Roman" w:hAnsi="Times New Roman" w:cs="Times New Roman"/>
          <w:sz w:val="24"/>
          <w:szCs w:val="24"/>
        </w:rPr>
        <w:tab/>
      </w:r>
      <w:r w:rsidRPr="006C5938">
        <w:rPr>
          <w:rFonts w:ascii="Times New Roman" w:hAnsi="Times New Roman" w:cs="Times New Roman"/>
          <w:sz w:val="24"/>
          <w:szCs w:val="24"/>
        </w:rPr>
        <w:tab/>
      </w:r>
      <w:r w:rsidRPr="006C5938">
        <w:rPr>
          <w:rFonts w:ascii="Times New Roman" w:hAnsi="Times New Roman" w:cs="Times New Roman"/>
          <w:sz w:val="24"/>
          <w:szCs w:val="24"/>
        </w:rPr>
        <w:tab/>
      </w:r>
      <w:r w:rsidRPr="006C5938">
        <w:rPr>
          <w:rFonts w:ascii="Times New Roman" w:hAnsi="Times New Roman" w:cs="Times New Roman"/>
          <w:sz w:val="24"/>
          <w:szCs w:val="24"/>
        </w:rPr>
        <w:tab/>
        <w:t xml:space="preserve">(b) </w:t>
      </w:r>
      <w:r w:rsidRPr="006C5938">
        <w:rPr>
          <w:rFonts w:ascii="Times New Roman" w:hAnsi="Times New Roman" w:cs="Times New Roman"/>
          <w:sz w:val="24"/>
          <w:szCs w:val="24"/>
        </w:rPr>
        <w:tab/>
      </w:r>
      <w:r w:rsidRPr="006C5938">
        <w:rPr>
          <w:rFonts w:ascii="Times New Roman" w:hAnsi="Times New Roman" w:cs="Times New Roman"/>
          <w:sz w:val="24"/>
          <w:szCs w:val="24"/>
        </w:rPr>
        <w:tab/>
      </w:r>
      <w:r w:rsidRPr="006C5938">
        <w:rPr>
          <w:rFonts w:ascii="Times New Roman" w:hAnsi="Times New Roman" w:cs="Times New Roman"/>
          <w:sz w:val="24"/>
          <w:szCs w:val="24"/>
        </w:rPr>
        <w:tab/>
      </w:r>
      <w:r w:rsidRPr="006C5938">
        <w:rPr>
          <w:rFonts w:ascii="Times New Roman" w:hAnsi="Times New Roman" w:cs="Times New Roman"/>
          <w:sz w:val="24"/>
          <w:szCs w:val="24"/>
        </w:rPr>
        <w:tab/>
      </w:r>
      <w:r w:rsidRPr="006C5938">
        <w:rPr>
          <w:rFonts w:ascii="Times New Roman" w:hAnsi="Times New Roman" w:cs="Times New Roman"/>
          <w:sz w:val="24"/>
          <w:szCs w:val="24"/>
        </w:rPr>
        <w:tab/>
      </w:r>
    </w:p>
    <w:p w14:paraId="4BB167C1" w14:textId="77777777" w:rsidR="006C5938" w:rsidRPr="006C5938" w:rsidRDefault="006C5938" w:rsidP="006C5938">
      <w:pPr>
        <w:spacing w:after="0"/>
        <w:ind w:firstLine="708"/>
        <w:jc w:val="both"/>
        <w:rPr>
          <w:rFonts w:ascii="Times New Roman" w:hAnsi="Times New Roman" w:cs="Times New Roman"/>
          <w:sz w:val="24"/>
          <w:szCs w:val="24"/>
        </w:rPr>
      </w:pPr>
    </w:p>
    <w:p w14:paraId="74824E33" w14:textId="77777777" w:rsidR="006C5938" w:rsidRPr="006C5938" w:rsidRDefault="006C5938" w:rsidP="006C5938">
      <w:pPr>
        <w:spacing w:after="0"/>
        <w:ind w:firstLine="708"/>
        <w:jc w:val="both"/>
        <w:rPr>
          <w:rFonts w:ascii="Times New Roman" w:hAnsi="Times New Roman" w:cs="Times New Roman"/>
          <w:sz w:val="24"/>
          <w:szCs w:val="24"/>
        </w:rPr>
      </w:pPr>
      <w:r w:rsidRPr="006C5938">
        <w:rPr>
          <w:rFonts w:ascii="Times New Roman" w:hAnsi="Times New Roman" w:cs="Times New Roman"/>
          <w:sz w:val="24"/>
          <w:szCs w:val="24"/>
        </w:rPr>
        <w:t xml:space="preserve">Рис. 1. </w:t>
      </w:r>
      <w:r w:rsidRPr="006C5938">
        <w:rPr>
          <w:rFonts w:ascii="Times New Roman" w:hAnsi="Times New Roman" w:cs="Times New Roman"/>
          <w:sz w:val="24"/>
          <w:szCs w:val="24"/>
        </w:rPr>
        <w:tab/>
        <w:t>(a) Удельное электрическое сопротивление TaS2 как функция температуры при давлениях до 11.4 ГПа TCDW (температура перехода в состояние CDW). На вставке область сверхпроводящего перехода при низких температурах и критерий определения Тс.</w:t>
      </w:r>
    </w:p>
    <w:p w14:paraId="45FEFE07" w14:textId="2C4F7AA8" w:rsidR="006C5938" w:rsidRPr="006C5938" w:rsidRDefault="006C5938" w:rsidP="006C5938">
      <w:pPr>
        <w:spacing w:after="0"/>
        <w:ind w:firstLine="708"/>
        <w:jc w:val="both"/>
        <w:rPr>
          <w:rFonts w:ascii="Times New Roman" w:hAnsi="Times New Roman" w:cs="Times New Roman"/>
          <w:sz w:val="24"/>
          <w:szCs w:val="24"/>
        </w:rPr>
      </w:pPr>
      <w:r w:rsidRPr="006C5938">
        <w:rPr>
          <w:rFonts w:ascii="Times New Roman" w:hAnsi="Times New Roman" w:cs="Times New Roman"/>
          <w:sz w:val="24"/>
          <w:szCs w:val="24"/>
        </w:rPr>
        <w:t xml:space="preserve"> </w:t>
      </w:r>
      <w:r w:rsidRPr="006C5938">
        <w:rPr>
          <w:rFonts w:ascii="Times New Roman" w:hAnsi="Times New Roman" w:cs="Times New Roman"/>
          <w:sz w:val="24"/>
          <w:szCs w:val="24"/>
        </w:rPr>
        <w:tab/>
      </w:r>
      <w:r w:rsidRPr="006C5938">
        <w:rPr>
          <w:rFonts w:ascii="Times New Roman" w:hAnsi="Times New Roman" w:cs="Times New Roman"/>
          <w:sz w:val="24"/>
          <w:szCs w:val="24"/>
        </w:rPr>
        <w:tab/>
        <w:t xml:space="preserve">(b) Фазовая диаграмма 2H-TaS2. Сплошные ромбы представляют </w:t>
      </w:r>
      <w:r w:rsidRPr="006C5938">
        <w:rPr>
          <w:rFonts w:ascii="Times New Roman" w:hAnsi="Times New Roman" w:cs="Times New Roman"/>
          <w:sz w:val="24"/>
          <w:szCs w:val="24"/>
        </w:rPr>
        <w:t>TCDW из</w:t>
      </w:r>
      <w:r w:rsidRPr="006C5938">
        <w:rPr>
          <w:rFonts w:ascii="Times New Roman" w:hAnsi="Times New Roman" w:cs="Times New Roman"/>
          <w:sz w:val="24"/>
          <w:szCs w:val="24"/>
        </w:rPr>
        <w:t xml:space="preserve"> измерений удельного электрического сопротивления, сплошные кружки соответствуют </w:t>
      </w:r>
      <w:proofErr w:type="spellStart"/>
      <w:r w:rsidRPr="006C5938">
        <w:rPr>
          <w:rFonts w:ascii="Times New Roman" w:hAnsi="Times New Roman" w:cs="Times New Roman"/>
          <w:sz w:val="24"/>
          <w:szCs w:val="24"/>
        </w:rPr>
        <w:t>Tc</w:t>
      </w:r>
      <w:proofErr w:type="spellEnd"/>
      <w:r w:rsidRPr="006C5938">
        <w:rPr>
          <w:rFonts w:ascii="Times New Roman" w:hAnsi="Times New Roman" w:cs="Times New Roman"/>
          <w:sz w:val="24"/>
          <w:szCs w:val="24"/>
        </w:rPr>
        <w:t>; три независимых измерения отмечены разными цветами. Треугольники обозначают TCDW из комбинационного рассеяния света. Экспериментальные данные из других работ приведены для сравнения.</w:t>
      </w:r>
    </w:p>
    <w:p w14:paraId="36C58BC2" w14:textId="77777777" w:rsidR="006C5938" w:rsidRPr="006C5938" w:rsidRDefault="006C5938" w:rsidP="006C5938">
      <w:pPr>
        <w:spacing w:after="0"/>
        <w:ind w:firstLine="708"/>
        <w:jc w:val="both"/>
        <w:rPr>
          <w:rFonts w:ascii="Times New Roman" w:hAnsi="Times New Roman" w:cs="Times New Roman"/>
          <w:sz w:val="24"/>
          <w:szCs w:val="24"/>
        </w:rPr>
      </w:pPr>
    </w:p>
    <w:p w14:paraId="538F6C10" w14:textId="77777777" w:rsidR="006C5938" w:rsidRPr="006C5938" w:rsidRDefault="006C5938" w:rsidP="006C5938">
      <w:pPr>
        <w:spacing w:after="0"/>
        <w:ind w:firstLine="708"/>
        <w:jc w:val="both"/>
        <w:rPr>
          <w:rFonts w:ascii="Times New Roman" w:hAnsi="Times New Roman" w:cs="Times New Roman"/>
          <w:sz w:val="24"/>
          <w:szCs w:val="24"/>
        </w:rPr>
      </w:pPr>
      <w:r w:rsidRPr="006C5938">
        <w:rPr>
          <w:rFonts w:ascii="Times New Roman" w:hAnsi="Times New Roman" w:cs="Times New Roman"/>
          <w:sz w:val="24"/>
          <w:szCs w:val="24"/>
        </w:rPr>
        <w:t>Литература</w:t>
      </w:r>
    </w:p>
    <w:p w14:paraId="403192CE" w14:textId="77777777" w:rsidR="006C5938" w:rsidRPr="006C5938" w:rsidRDefault="006C5938" w:rsidP="006C5938">
      <w:pPr>
        <w:spacing w:after="0"/>
        <w:ind w:firstLine="708"/>
        <w:jc w:val="both"/>
        <w:rPr>
          <w:rFonts w:ascii="Times New Roman" w:hAnsi="Times New Roman" w:cs="Times New Roman"/>
          <w:sz w:val="24"/>
          <w:szCs w:val="24"/>
        </w:rPr>
      </w:pPr>
    </w:p>
    <w:p w14:paraId="48D9BF61" w14:textId="77777777" w:rsidR="006C5938" w:rsidRPr="006C5938" w:rsidRDefault="006C5938" w:rsidP="006C5938">
      <w:pPr>
        <w:spacing w:after="0"/>
        <w:ind w:firstLine="708"/>
        <w:jc w:val="both"/>
        <w:rPr>
          <w:rFonts w:ascii="Times New Roman" w:hAnsi="Times New Roman" w:cs="Times New Roman"/>
          <w:sz w:val="24"/>
          <w:szCs w:val="24"/>
        </w:rPr>
      </w:pPr>
      <w:r w:rsidRPr="006C5938">
        <w:rPr>
          <w:rFonts w:ascii="Times New Roman" w:hAnsi="Times New Roman" w:cs="Times New Roman"/>
          <w:sz w:val="24"/>
          <w:szCs w:val="24"/>
        </w:rPr>
        <w:t xml:space="preserve">[1] </w:t>
      </w:r>
      <w:r w:rsidRPr="006C5938">
        <w:rPr>
          <w:rFonts w:ascii="Times New Roman" w:hAnsi="Times New Roman" w:cs="Times New Roman"/>
          <w:sz w:val="24"/>
          <w:szCs w:val="24"/>
        </w:rPr>
        <w:tab/>
        <w:t xml:space="preserve">Xiao-Miao Zhao, Kai Zhang, Zi-Yu Cao, </w:t>
      </w:r>
      <w:proofErr w:type="spellStart"/>
      <w:r w:rsidRPr="006C5938">
        <w:rPr>
          <w:rFonts w:ascii="Times New Roman" w:hAnsi="Times New Roman" w:cs="Times New Roman"/>
          <w:sz w:val="24"/>
          <w:szCs w:val="24"/>
        </w:rPr>
        <w:t>Zhi-Wei</w:t>
      </w:r>
      <w:proofErr w:type="spellEnd"/>
      <w:r w:rsidRPr="006C5938">
        <w:rPr>
          <w:rFonts w:ascii="Times New Roman" w:hAnsi="Times New Roman" w:cs="Times New Roman"/>
          <w:sz w:val="24"/>
          <w:szCs w:val="24"/>
        </w:rPr>
        <w:t xml:space="preserve"> Zhao, Viktor V. </w:t>
      </w:r>
      <w:proofErr w:type="spellStart"/>
      <w:r w:rsidRPr="006C5938">
        <w:rPr>
          <w:rFonts w:ascii="Times New Roman" w:hAnsi="Times New Roman" w:cs="Times New Roman"/>
          <w:sz w:val="24"/>
          <w:szCs w:val="24"/>
        </w:rPr>
        <w:t>Struzhkin</w:t>
      </w:r>
      <w:proofErr w:type="spellEnd"/>
      <w:r w:rsidRPr="006C5938">
        <w:rPr>
          <w:rFonts w:ascii="Times New Roman" w:hAnsi="Times New Roman" w:cs="Times New Roman"/>
          <w:sz w:val="24"/>
          <w:szCs w:val="24"/>
        </w:rPr>
        <w:t xml:space="preserve">, Alexander F. </w:t>
      </w:r>
      <w:proofErr w:type="spellStart"/>
      <w:r w:rsidRPr="006C5938">
        <w:rPr>
          <w:rFonts w:ascii="Times New Roman" w:hAnsi="Times New Roman" w:cs="Times New Roman"/>
          <w:sz w:val="24"/>
          <w:szCs w:val="24"/>
        </w:rPr>
        <w:t>Goncharov</w:t>
      </w:r>
      <w:proofErr w:type="spellEnd"/>
      <w:r w:rsidRPr="006C5938">
        <w:rPr>
          <w:rFonts w:ascii="Times New Roman" w:hAnsi="Times New Roman" w:cs="Times New Roman"/>
          <w:sz w:val="24"/>
          <w:szCs w:val="24"/>
        </w:rPr>
        <w:t xml:space="preserve">, </w:t>
      </w:r>
      <w:proofErr w:type="spellStart"/>
      <w:r w:rsidRPr="006C5938">
        <w:rPr>
          <w:rFonts w:ascii="Times New Roman" w:hAnsi="Times New Roman" w:cs="Times New Roman"/>
          <w:sz w:val="24"/>
          <w:szCs w:val="24"/>
        </w:rPr>
        <w:t>Hai-Kuo</w:t>
      </w:r>
      <w:proofErr w:type="spellEnd"/>
      <w:r w:rsidRPr="006C5938">
        <w:rPr>
          <w:rFonts w:ascii="Times New Roman" w:hAnsi="Times New Roman" w:cs="Times New Roman"/>
          <w:sz w:val="24"/>
          <w:szCs w:val="24"/>
        </w:rPr>
        <w:t xml:space="preserve"> Wang, Alexander G. </w:t>
      </w:r>
      <w:proofErr w:type="spellStart"/>
      <w:r w:rsidRPr="006C5938">
        <w:rPr>
          <w:rFonts w:ascii="Times New Roman" w:hAnsi="Times New Roman" w:cs="Times New Roman"/>
          <w:sz w:val="24"/>
          <w:szCs w:val="24"/>
        </w:rPr>
        <w:t>Gavriliuk</w:t>
      </w:r>
      <w:proofErr w:type="spellEnd"/>
      <w:r w:rsidRPr="006C5938">
        <w:rPr>
          <w:rFonts w:ascii="Times New Roman" w:hAnsi="Times New Roman" w:cs="Times New Roman"/>
          <w:sz w:val="24"/>
          <w:szCs w:val="24"/>
        </w:rPr>
        <w:t xml:space="preserve">, Ho-Kwang Mao, and Xiao-Jia Chen, "Pressure tuning of the charge density wave and superconductivity in 2H-TaS2", Phys. </w:t>
      </w:r>
      <w:proofErr w:type="spellStart"/>
      <w:r w:rsidRPr="006C5938">
        <w:rPr>
          <w:rFonts w:ascii="Times New Roman" w:hAnsi="Times New Roman" w:cs="Times New Roman"/>
          <w:sz w:val="24"/>
          <w:szCs w:val="24"/>
        </w:rPr>
        <w:t>Rev</w:t>
      </w:r>
      <w:proofErr w:type="spellEnd"/>
      <w:r w:rsidRPr="006C5938">
        <w:rPr>
          <w:rFonts w:ascii="Times New Roman" w:hAnsi="Times New Roman" w:cs="Times New Roman"/>
          <w:sz w:val="24"/>
          <w:szCs w:val="24"/>
        </w:rPr>
        <w:t>. B 101, 134506 (2020).</w:t>
      </w:r>
    </w:p>
    <w:p w14:paraId="648FBE35" w14:textId="77777777" w:rsidR="006C5938" w:rsidRPr="006C5938" w:rsidRDefault="006C5938" w:rsidP="006C5938">
      <w:pPr>
        <w:spacing w:after="0"/>
        <w:ind w:firstLine="708"/>
        <w:jc w:val="both"/>
        <w:rPr>
          <w:rFonts w:ascii="Times New Roman" w:hAnsi="Times New Roman" w:cs="Times New Roman"/>
          <w:sz w:val="24"/>
          <w:szCs w:val="24"/>
        </w:rPr>
      </w:pPr>
    </w:p>
    <w:p w14:paraId="47C6BC9F" w14:textId="00214D1C" w:rsidR="002D2A6D" w:rsidRDefault="002D2A6D"/>
    <w:p w14:paraId="1897E8FE" w14:textId="16D20622" w:rsidR="006C5938" w:rsidRDefault="006C5938"/>
    <w:p w14:paraId="35967CC6" w14:textId="2B7D311D" w:rsidR="00662263" w:rsidRPr="00486AD3" w:rsidRDefault="002A5270" w:rsidP="00662263">
      <w:pPr>
        <w:ind w:firstLine="708"/>
        <w:jc w:val="both"/>
        <w:rPr>
          <w:rFonts w:ascii="Times New Roman" w:hAnsi="Times New Roman" w:cs="Times New Roman"/>
          <w:b/>
          <w:bCs/>
          <w:i/>
          <w:iCs/>
          <w:sz w:val="24"/>
          <w:szCs w:val="24"/>
        </w:rPr>
      </w:pPr>
      <w:r w:rsidRPr="00486AD3">
        <w:rPr>
          <w:rFonts w:ascii="Times New Roman" w:hAnsi="Times New Roman" w:cs="Times New Roman"/>
          <w:b/>
          <w:bCs/>
          <w:i/>
          <w:iCs/>
          <w:sz w:val="24"/>
          <w:szCs w:val="24"/>
        </w:rPr>
        <w:lastRenderedPageBreak/>
        <w:t xml:space="preserve">В нейтринном эксперименте T2K (Япония) </w:t>
      </w:r>
      <w:r w:rsidR="00662263" w:rsidRPr="00486AD3">
        <w:rPr>
          <w:rFonts w:ascii="Times New Roman" w:hAnsi="Times New Roman" w:cs="Times New Roman"/>
          <w:b/>
          <w:bCs/>
          <w:i/>
          <w:iCs/>
          <w:sz w:val="24"/>
          <w:szCs w:val="24"/>
        </w:rPr>
        <w:t>получен уникальный</w:t>
      </w:r>
      <w:r w:rsidRPr="00486AD3">
        <w:rPr>
          <w:rFonts w:ascii="Times New Roman" w:hAnsi="Times New Roman" w:cs="Times New Roman"/>
          <w:b/>
          <w:bCs/>
          <w:i/>
          <w:iCs/>
          <w:sz w:val="24"/>
          <w:szCs w:val="24"/>
        </w:rPr>
        <w:t xml:space="preserve"> научный результат,</w:t>
      </w:r>
      <w:r w:rsidRPr="00486AD3">
        <w:rPr>
          <w:rFonts w:ascii="Tahoma" w:hAnsi="Tahoma" w:cs="Tahoma"/>
          <w:b/>
          <w:bCs/>
          <w:i/>
          <w:iCs/>
          <w:color w:val="000000"/>
          <w:sz w:val="18"/>
          <w:szCs w:val="18"/>
          <w:shd w:val="clear" w:color="auto" w:fill="FFFFFF"/>
        </w:rPr>
        <w:t xml:space="preserve"> </w:t>
      </w:r>
      <w:r w:rsidR="00662263" w:rsidRPr="00486AD3">
        <w:rPr>
          <w:rFonts w:ascii="Times New Roman" w:hAnsi="Times New Roman" w:cs="Times New Roman"/>
          <w:b/>
          <w:bCs/>
          <w:i/>
          <w:iCs/>
          <w:sz w:val="24"/>
          <w:szCs w:val="24"/>
        </w:rPr>
        <w:t>дающие указания на возможное нарушение комбинированной CP-симметрии в лептонном секторе (C – зарядовая четность, P –пространственная четность).</w:t>
      </w:r>
    </w:p>
    <w:p w14:paraId="21C7571F" w14:textId="693D937D" w:rsidR="006C5938" w:rsidRPr="006C5938" w:rsidRDefault="006C5938" w:rsidP="006C5938">
      <w:pPr>
        <w:ind w:firstLine="708"/>
        <w:jc w:val="both"/>
        <w:rPr>
          <w:rFonts w:ascii="Times New Roman" w:hAnsi="Times New Roman" w:cs="Times New Roman"/>
          <w:sz w:val="24"/>
          <w:szCs w:val="24"/>
        </w:rPr>
      </w:pPr>
      <w:r w:rsidRPr="006C5938">
        <w:rPr>
          <w:rFonts w:ascii="Times New Roman" w:hAnsi="Times New Roman" w:cs="Times New Roman"/>
          <w:sz w:val="24"/>
          <w:szCs w:val="24"/>
        </w:rPr>
        <w:t>16 апреля 2020 г. в авторитетном научном журнале Nature (Nature 580, 339 (2020); DOI: 10.1038/s41586-020-2177-0) опубликованы недавние результаты нейтринного эксперимента T2K, дающие указания на возможное нарушение комбинированной CP-симметрии в лептонном секторе (C – зарядовая четность, P –пространственная четность).</w:t>
      </w:r>
    </w:p>
    <w:p w14:paraId="77660EA2" w14:textId="77777777" w:rsidR="006C5938" w:rsidRPr="006C5938" w:rsidRDefault="006C5938" w:rsidP="006C5938">
      <w:pPr>
        <w:ind w:firstLine="708"/>
        <w:jc w:val="both"/>
        <w:rPr>
          <w:rFonts w:ascii="Times New Roman" w:hAnsi="Times New Roman" w:cs="Times New Roman"/>
          <w:sz w:val="24"/>
          <w:szCs w:val="24"/>
        </w:rPr>
      </w:pPr>
      <w:r w:rsidRPr="006C5938">
        <w:rPr>
          <w:rFonts w:ascii="Times New Roman" w:hAnsi="Times New Roman" w:cs="Times New Roman"/>
          <w:sz w:val="24"/>
          <w:szCs w:val="24"/>
        </w:rPr>
        <w:drawing>
          <wp:anchor distT="0" distB="0" distL="114300" distR="114300" simplePos="0" relativeHeight="251659264" behindDoc="1" locked="0" layoutInCell="1" allowOverlap="1" wp14:anchorId="77E78A97" wp14:editId="08BCB487">
            <wp:simplePos x="0" y="0"/>
            <wp:positionH relativeFrom="column">
              <wp:posOffset>38100</wp:posOffset>
            </wp:positionH>
            <wp:positionV relativeFrom="paragraph">
              <wp:posOffset>115959</wp:posOffset>
            </wp:positionV>
            <wp:extent cx="2746389" cy="2993923"/>
            <wp:effectExtent l="0" t="0" r="0" b="3810"/>
            <wp:wrapTight wrapText="bothSides">
              <wp:wrapPolygon edited="0">
                <wp:start x="0" y="0"/>
                <wp:lineTo x="0" y="21536"/>
                <wp:lineTo x="21475" y="21536"/>
                <wp:lineTo x="21475" y="0"/>
                <wp:lineTo x="0" y="0"/>
              </wp:wrapPolygon>
            </wp:wrapTight>
            <wp:docPr id="5" name="Рисунок 5" descr="Изображение выглядит как текст, кни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16 April 2020.pdf"/>
                    <pic:cNvPicPr/>
                  </pic:nvPicPr>
                  <pic:blipFill rotWithShape="1">
                    <a:blip r:embed="rId11" cstate="print">
                      <a:extLst>
                        <a:ext uri="{28A0092B-C50C-407E-A947-70E740481C1C}">
                          <a14:useLocalDpi xmlns:a14="http://schemas.microsoft.com/office/drawing/2010/main" val="0"/>
                        </a:ext>
                      </a:extLst>
                    </a:blip>
                    <a:srcRect l="2567" t="1207" b="18900"/>
                    <a:stretch/>
                  </pic:blipFill>
                  <pic:spPr bwMode="auto">
                    <a:xfrm>
                      <a:off x="0" y="0"/>
                      <a:ext cx="2746389" cy="2993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4C5CE8" w14:textId="77777777" w:rsidR="006C5938" w:rsidRPr="006C5938" w:rsidRDefault="006C5938" w:rsidP="006C5938">
      <w:pPr>
        <w:ind w:firstLine="708"/>
        <w:jc w:val="both"/>
        <w:rPr>
          <w:rFonts w:ascii="Times New Roman" w:hAnsi="Times New Roman" w:cs="Times New Roman"/>
          <w:sz w:val="24"/>
          <w:szCs w:val="24"/>
        </w:rPr>
      </w:pPr>
      <w:r w:rsidRPr="006C5938">
        <w:rPr>
          <w:rFonts w:ascii="Times New Roman" w:hAnsi="Times New Roman" w:cs="Times New Roman"/>
          <w:sz w:val="24"/>
          <w:szCs w:val="24"/>
        </w:rPr>
        <w:t>Эксперимент T2K (</w:t>
      </w:r>
      <w:proofErr w:type="spellStart"/>
      <w:r w:rsidRPr="006C5938">
        <w:rPr>
          <w:rFonts w:ascii="Times New Roman" w:hAnsi="Times New Roman" w:cs="Times New Roman"/>
          <w:sz w:val="24"/>
          <w:szCs w:val="24"/>
        </w:rPr>
        <w:t>Tokai-to-Kamioka</w:t>
      </w:r>
      <w:proofErr w:type="spellEnd"/>
      <w:r w:rsidRPr="006C5938">
        <w:rPr>
          <w:rFonts w:ascii="Times New Roman" w:hAnsi="Times New Roman" w:cs="Times New Roman"/>
          <w:sz w:val="24"/>
          <w:szCs w:val="24"/>
        </w:rPr>
        <w:t>) – это международный проект, в котором участвуют ученые из 12 стран: Великобритании, Вьетнама, Испании, Италии, Канады, Польши, России, Франции, ФРГ, США, Швейцарии, Японии (Россия представлена сотрудниками ИЯИ РАН). Этот эксперимент начал набор данных в 2010 г. и уже в 2011 г. обнаружил доказательства переходов мюонных нейтрино, произведенных на протонном ускорителе J-PARC (Токай, Япония), в нейтрино другого типа – электронные, которые были обнаружены в дальнем детекторе – Супер-</w:t>
      </w:r>
      <w:proofErr w:type="spellStart"/>
      <w:r w:rsidRPr="006C5938">
        <w:rPr>
          <w:rFonts w:ascii="Times New Roman" w:hAnsi="Times New Roman" w:cs="Times New Roman"/>
          <w:sz w:val="24"/>
          <w:szCs w:val="24"/>
        </w:rPr>
        <w:t>Камиоканде</w:t>
      </w:r>
      <w:proofErr w:type="spellEnd"/>
      <w:r w:rsidRPr="006C5938">
        <w:rPr>
          <w:rFonts w:ascii="Times New Roman" w:hAnsi="Times New Roman" w:cs="Times New Roman"/>
          <w:sz w:val="24"/>
          <w:szCs w:val="24"/>
        </w:rPr>
        <w:t xml:space="preserve"> – на расстоянии 295 км.</w:t>
      </w:r>
    </w:p>
    <w:p w14:paraId="0994F418" w14:textId="40CA6054" w:rsidR="006C5938" w:rsidRPr="006C5938" w:rsidRDefault="006C5938" w:rsidP="006C5938">
      <w:pPr>
        <w:ind w:firstLine="708"/>
        <w:jc w:val="both"/>
        <w:rPr>
          <w:rFonts w:ascii="Times New Roman" w:hAnsi="Times New Roman" w:cs="Times New Roman"/>
          <w:sz w:val="24"/>
          <w:szCs w:val="24"/>
        </w:rPr>
      </w:pPr>
      <w:r w:rsidRPr="006C5938">
        <w:rPr>
          <w:rFonts w:ascii="Times New Roman" w:hAnsi="Times New Roman" w:cs="Times New Roman"/>
          <w:sz w:val="24"/>
          <w:szCs w:val="24"/>
        </w:rPr>
        <w:tab/>
        <w:t xml:space="preserve">В данной работе, опубликованной в Nature, представлены результаты анализа данных T2K, набранных в 2010-2019 гг. по измерению так называемой CP-нарушающей фазы </w:t>
      </w:r>
      <w:r>
        <w:rPr>
          <w:rFonts w:ascii="Symbol" w:hAnsi="Symbol"/>
        </w:rPr>
        <w:t></w:t>
      </w:r>
      <w:r w:rsidRPr="004E6BC4">
        <w:rPr>
          <w:rFonts w:cstheme="minorHAnsi"/>
          <w:vertAlign w:val="subscript"/>
          <w:lang w:val="en-US"/>
        </w:rPr>
        <w:t>CP</w:t>
      </w:r>
      <w:r w:rsidRPr="006C5938">
        <w:rPr>
          <w:rFonts w:ascii="Times New Roman" w:hAnsi="Times New Roman" w:cs="Times New Roman"/>
          <w:sz w:val="24"/>
          <w:szCs w:val="24"/>
        </w:rPr>
        <w:t>, которая имеет размерность угла и может меняться от –180 до +180 градусов (либо от 0</w:t>
      </w:r>
      <w:r>
        <w:rPr>
          <w:rFonts w:ascii="Symbol" w:hAnsi="Symbol" w:cstheme="minorHAnsi"/>
        </w:rPr>
        <w:t></w:t>
      </w:r>
      <w:r w:rsidRPr="006C5938">
        <w:rPr>
          <w:rFonts w:ascii="Times New Roman" w:hAnsi="Times New Roman" w:cs="Times New Roman"/>
          <w:sz w:val="24"/>
          <w:szCs w:val="24"/>
        </w:rPr>
        <w:t xml:space="preserve"> до 360</w:t>
      </w:r>
      <w:r>
        <w:rPr>
          <w:rFonts w:ascii="Symbol" w:hAnsi="Symbol" w:cstheme="minorHAnsi"/>
        </w:rPr>
        <w:t></w:t>
      </w:r>
      <w:r w:rsidRPr="006C5938">
        <w:rPr>
          <w:rFonts w:ascii="Times New Roman" w:hAnsi="Times New Roman" w:cs="Times New Roman"/>
          <w:sz w:val="24"/>
          <w:szCs w:val="24"/>
        </w:rPr>
        <w:t xml:space="preserve">). Если фаза </w:t>
      </w:r>
      <w:r>
        <w:rPr>
          <w:rFonts w:ascii="Symbol" w:hAnsi="Symbol"/>
        </w:rPr>
        <w:t></w:t>
      </w:r>
      <w:r w:rsidRPr="004E6BC4">
        <w:rPr>
          <w:rFonts w:cstheme="minorHAnsi"/>
          <w:vertAlign w:val="subscript"/>
          <w:lang w:val="en-US"/>
        </w:rPr>
        <w:t>CP</w:t>
      </w:r>
      <w:r>
        <w:rPr>
          <w:rFonts w:cstheme="minorHAnsi"/>
        </w:rPr>
        <w:t xml:space="preserve"> </w:t>
      </w:r>
      <w:r w:rsidRPr="006C5938">
        <w:rPr>
          <w:rFonts w:ascii="Times New Roman" w:hAnsi="Times New Roman" w:cs="Times New Roman"/>
          <w:sz w:val="24"/>
          <w:szCs w:val="24"/>
        </w:rPr>
        <w:t xml:space="preserve">равна нулю или </w:t>
      </w:r>
      <w:proofErr w:type="gramStart"/>
      <w:r w:rsidRPr="006C5938">
        <w:rPr>
          <w:rFonts w:ascii="Times New Roman" w:hAnsi="Times New Roman" w:cs="Times New Roman"/>
          <w:sz w:val="24"/>
          <w:szCs w:val="24"/>
        </w:rPr>
        <w:t xml:space="preserve">кратна </w:t>
      </w:r>
      <w:r>
        <w:rPr>
          <w:rFonts w:cstheme="minorHAnsi"/>
        </w:rPr>
        <w:t xml:space="preserve"> </w:t>
      </w:r>
      <w:r>
        <w:rPr>
          <w:rFonts w:ascii="Symbol" w:hAnsi="Symbol" w:cstheme="minorHAnsi"/>
        </w:rPr>
        <w:t></w:t>
      </w:r>
      <w:proofErr w:type="gramEnd"/>
      <w:r w:rsidRPr="006C5938">
        <w:rPr>
          <w:rFonts w:ascii="Times New Roman" w:hAnsi="Times New Roman" w:cs="Times New Roman"/>
          <w:sz w:val="24"/>
          <w:szCs w:val="24"/>
        </w:rPr>
        <w:t>180</w:t>
      </w:r>
      <w:r>
        <w:rPr>
          <w:rFonts w:ascii="Symbol" w:hAnsi="Symbol" w:cstheme="minorHAnsi"/>
        </w:rPr>
        <w:t></w:t>
      </w:r>
      <w:r w:rsidRPr="006C5938">
        <w:rPr>
          <w:rFonts w:ascii="Times New Roman" w:hAnsi="Times New Roman" w:cs="Times New Roman"/>
          <w:sz w:val="24"/>
          <w:szCs w:val="24"/>
        </w:rPr>
        <w:t xml:space="preserve">, то это означает, что переходы мюонных нейтрино в электронные нейтрино проходят также (с той же вероятностью), как и переходы мюонных антинейтрино в электронные антинейтрино, т.е. CP-симметрия сохраняется. </w:t>
      </w:r>
    </w:p>
    <w:p w14:paraId="3264FEF5" w14:textId="1D2A293F" w:rsidR="006C5938" w:rsidRPr="006C5938" w:rsidRDefault="006C5938" w:rsidP="006C5938">
      <w:pPr>
        <w:ind w:firstLine="708"/>
        <w:jc w:val="both"/>
        <w:rPr>
          <w:rFonts w:ascii="Times New Roman" w:hAnsi="Times New Roman" w:cs="Times New Roman"/>
          <w:sz w:val="24"/>
          <w:szCs w:val="24"/>
        </w:rPr>
      </w:pPr>
      <w:r w:rsidRPr="006C5938">
        <w:rPr>
          <w:rFonts w:ascii="Times New Roman" w:hAnsi="Times New Roman" w:cs="Times New Roman"/>
          <w:sz w:val="24"/>
          <w:szCs w:val="24"/>
        </w:rPr>
        <w:drawing>
          <wp:anchor distT="0" distB="0" distL="114300" distR="114300" simplePos="0" relativeHeight="251660288" behindDoc="1" locked="0" layoutInCell="1" allowOverlap="1" wp14:anchorId="4A664149" wp14:editId="4FE367BC">
            <wp:simplePos x="0" y="0"/>
            <wp:positionH relativeFrom="column">
              <wp:posOffset>-8890</wp:posOffset>
            </wp:positionH>
            <wp:positionV relativeFrom="paragraph">
              <wp:posOffset>76446</wp:posOffset>
            </wp:positionV>
            <wp:extent cx="1716405" cy="2396490"/>
            <wp:effectExtent l="0" t="0" r="0" b="3810"/>
            <wp:wrapTight wrapText="bothSides">
              <wp:wrapPolygon edited="0">
                <wp:start x="0" y="0"/>
                <wp:lineTo x="0" y="21520"/>
                <wp:lineTo x="21416" y="21520"/>
                <wp:lineTo x="21416"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stheta13_dcp_1.pd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6405" cy="2396490"/>
                    </a:xfrm>
                    <a:prstGeom prst="rect">
                      <a:avLst/>
                    </a:prstGeom>
                  </pic:spPr>
                </pic:pic>
              </a:graphicData>
            </a:graphic>
            <wp14:sizeRelH relativeFrom="page">
              <wp14:pctWidth>0</wp14:pctWidth>
            </wp14:sizeRelH>
            <wp14:sizeRelV relativeFrom="page">
              <wp14:pctHeight>0</wp14:pctHeight>
            </wp14:sizeRelV>
          </wp:anchor>
        </w:drawing>
      </w:r>
      <w:r w:rsidRPr="006C5938">
        <w:rPr>
          <w:rFonts w:ascii="Times New Roman" w:hAnsi="Times New Roman" w:cs="Times New Roman"/>
          <w:sz w:val="24"/>
          <w:szCs w:val="24"/>
        </w:rPr>
        <w:t xml:space="preserve">Данные, полученные в T2K, указывают на то, что </w:t>
      </w:r>
      <w:r w:rsidR="002A5270">
        <w:rPr>
          <w:rFonts w:ascii="Symbol" w:hAnsi="Symbol"/>
        </w:rPr>
        <w:t></w:t>
      </w:r>
      <w:r w:rsidR="002A5270" w:rsidRPr="004E6BC4">
        <w:rPr>
          <w:rFonts w:cstheme="minorHAnsi"/>
          <w:vertAlign w:val="subscript"/>
          <w:lang w:val="en-US"/>
        </w:rPr>
        <w:t>CP</w:t>
      </w:r>
      <w:r w:rsidR="002A5270">
        <w:rPr>
          <w:rFonts w:cstheme="minorHAnsi"/>
        </w:rPr>
        <w:t xml:space="preserve"> </w:t>
      </w:r>
      <w:r w:rsidRPr="006C5938">
        <w:rPr>
          <w:rFonts w:ascii="Times New Roman" w:hAnsi="Times New Roman" w:cs="Times New Roman"/>
          <w:sz w:val="24"/>
          <w:szCs w:val="24"/>
        </w:rPr>
        <w:t xml:space="preserve">отличается от нуля (или </w:t>
      </w:r>
      <w:r w:rsidR="002A5270">
        <w:rPr>
          <w:rFonts w:ascii="Symbol" w:hAnsi="Symbol" w:cstheme="minorHAnsi"/>
        </w:rPr>
        <w:t></w:t>
      </w:r>
      <w:r w:rsidRPr="006C5938">
        <w:rPr>
          <w:rFonts w:ascii="Times New Roman" w:hAnsi="Times New Roman" w:cs="Times New Roman"/>
          <w:sz w:val="24"/>
          <w:szCs w:val="24"/>
        </w:rPr>
        <w:t>180</w:t>
      </w:r>
      <w:r w:rsidR="002A5270">
        <w:rPr>
          <w:rFonts w:ascii="Symbol" w:hAnsi="Symbol" w:cstheme="minorHAnsi"/>
        </w:rPr>
        <w:t></w:t>
      </w:r>
      <w:r w:rsidRPr="006C5938">
        <w:rPr>
          <w:rFonts w:ascii="Times New Roman" w:hAnsi="Times New Roman" w:cs="Times New Roman"/>
          <w:sz w:val="24"/>
          <w:szCs w:val="24"/>
        </w:rPr>
        <w:t xml:space="preserve">), более того, ее наилучшая оценка совпадает с величиной </w:t>
      </w:r>
      <w:r w:rsidR="002A5270">
        <w:rPr>
          <w:rFonts w:cstheme="minorHAnsi"/>
        </w:rPr>
        <w:t>–90</w:t>
      </w:r>
      <w:r w:rsidR="002A5270">
        <w:rPr>
          <w:rFonts w:ascii="Symbol" w:hAnsi="Symbol" w:cstheme="minorHAnsi"/>
        </w:rPr>
        <w:t></w:t>
      </w:r>
      <w:r w:rsidR="002A5270">
        <w:rPr>
          <w:rFonts w:ascii="Symbol" w:hAnsi="Symbol" w:cstheme="minorHAnsi"/>
        </w:rPr>
        <w:t xml:space="preserve">, </w:t>
      </w:r>
      <w:r w:rsidRPr="006C5938">
        <w:rPr>
          <w:rFonts w:ascii="Times New Roman" w:hAnsi="Times New Roman" w:cs="Times New Roman"/>
          <w:sz w:val="24"/>
          <w:szCs w:val="24"/>
        </w:rPr>
        <w:t xml:space="preserve">соответствующей максимальному CP-нарушению. На сегодняшний момент примерно половина значений </w:t>
      </w:r>
      <w:r w:rsidR="002A5270">
        <w:rPr>
          <w:rFonts w:ascii="Symbol" w:hAnsi="Symbol"/>
        </w:rPr>
        <w:t></w:t>
      </w:r>
      <w:r w:rsidR="002A5270" w:rsidRPr="004E6BC4">
        <w:rPr>
          <w:rFonts w:cstheme="minorHAnsi"/>
          <w:vertAlign w:val="subscript"/>
          <w:lang w:val="en-US"/>
        </w:rPr>
        <w:t>CP</w:t>
      </w:r>
      <w:r w:rsidRPr="006C5938">
        <w:rPr>
          <w:rFonts w:ascii="Times New Roman" w:hAnsi="Times New Roman" w:cs="Times New Roman"/>
          <w:sz w:val="24"/>
          <w:szCs w:val="24"/>
        </w:rPr>
        <w:t xml:space="preserve">, в том числе и CP-сохраняющие, исключается на уровне достоверности 99.7%. Данный результат демонстрирует, что ускорительные нейтринные эксперименты с длинной базой способны подключиться к разрешению одной из интереснейших загадок нашей Вселенной: преобладанию вещества над антивеществом. </w:t>
      </w:r>
    </w:p>
    <w:p w14:paraId="6795C65B" w14:textId="27B71401" w:rsidR="006C5938" w:rsidRPr="006C5938" w:rsidRDefault="006C5938" w:rsidP="006C5938">
      <w:pPr>
        <w:ind w:firstLine="708"/>
        <w:jc w:val="both"/>
        <w:rPr>
          <w:rFonts w:ascii="Times New Roman" w:hAnsi="Times New Roman" w:cs="Times New Roman"/>
          <w:sz w:val="24"/>
          <w:szCs w:val="24"/>
        </w:rPr>
      </w:pPr>
      <w:r w:rsidRPr="006C5938">
        <w:rPr>
          <w:rFonts w:ascii="Times New Roman" w:hAnsi="Times New Roman" w:cs="Times New Roman"/>
          <w:sz w:val="24"/>
          <w:szCs w:val="24"/>
        </w:rPr>
        <w:t xml:space="preserve">Требуется независимое подтверждение результата Т2К, а затем длительная работа на пути к окончательному открытию этого явления.   Решающая роль будет принадлежать двум </w:t>
      </w:r>
      <w:r w:rsidR="00662263" w:rsidRPr="006C5938">
        <w:rPr>
          <w:rFonts w:ascii="Times New Roman" w:hAnsi="Times New Roman" w:cs="Times New Roman"/>
          <w:sz w:val="24"/>
          <w:szCs w:val="24"/>
        </w:rPr>
        <w:t>будущим нейтринным</w:t>
      </w:r>
      <w:r w:rsidRPr="006C5938">
        <w:rPr>
          <w:rFonts w:ascii="Times New Roman" w:hAnsi="Times New Roman" w:cs="Times New Roman"/>
          <w:sz w:val="24"/>
          <w:szCs w:val="24"/>
        </w:rPr>
        <w:t xml:space="preserve"> проектам – </w:t>
      </w:r>
      <w:proofErr w:type="spellStart"/>
      <w:r w:rsidRPr="006C5938">
        <w:rPr>
          <w:rFonts w:ascii="Times New Roman" w:hAnsi="Times New Roman" w:cs="Times New Roman"/>
          <w:sz w:val="24"/>
          <w:szCs w:val="24"/>
        </w:rPr>
        <w:t>Гипер-Камиоканде</w:t>
      </w:r>
      <w:proofErr w:type="spellEnd"/>
      <w:r w:rsidRPr="006C5938">
        <w:rPr>
          <w:rFonts w:ascii="Times New Roman" w:hAnsi="Times New Roman" w:cs="Times New Roman"/>
          <w:sz w:val="24"/>
          <w:szCs w:val="24"/>
        </w:rPr>
        <w:t xml:space="preserve"> (Япония) </w:t>
      </w:r>
      <w:r w:rsidR="009961D7" w:rsidRPr="006C5938">
        <w:rPr>
          <w:rFonts w:ascii="Times New Roman" w:hAnsi="Times New Roman" w:cs="Times New Roman"/>
          <w:sz w:val="24"/>
          <w:szCs w:val="24"/>
        </w:rPr>
        <w:t>и DUNE</w:t>
      </w:r>
      <w:r w:rsidRPr="006C5938">
        <w:rPr>
          <w:rFonts w:ascii="Times New Roman" w:hAnsi="Times New Roman" w:cs="Times New Roman"/>
          <w:sz w:val="24"/>
          <w:szCs w:val="24"/>
        </w:rPr>
        <w:t xml:space="preserve"> (США). </w:t>
      </w:r>
    </w:p>
    <w:p w14:paraId="24E6373B" w14:textId="10C4BFE6" w:rsidR="00282224" w:rsidRPr="00486AD3" w:rsidRDefault="00282224" w:rsidP="00282224">
      <w:pPr>
        <w:autoSpaceDE w:val="0"/>
        <w:autoSpaceDN w:val="0"/>
        <w:adjustRightInd w:val="0"/>
        <w:spacing w:after="0" w:line="240" w:lineRule="auto"/>
        <w:ind w:firstLine="567"/>
        <w:jc w:val="both"/>
        <w:rPr>
          <w:rFonts w:ascii="Times New Roman" w:hAnsi="Times New Roman" w:cs="Times New Roman"/>
          <w:b/>
          <w:bCs/>
          <w:i/>
          <w:iCs/>
          <w:sz w:val="24"/>
          <w:szCs w:val="24"/>
        </w:rPr>
      </w:pPr>
      <w:r w:rsidRPr="00486AD3">
        <w:rPr>
          <w:rFonts w:ascii="Times New Roman" w:hAnsi="Times New Roman" w:cs="Times New Roman"/>
          <w:b/>
          <w:bCs/>
          <w:i/>
          <w:iCs/>
          <w:sz w:val="24"/>
          <w:szCs w:val="24"/>
        </w:rPr>
        <w:lastRenderedPageBreak/>
        <w:t>Точная бета</w:t>
      </w:r>
      <w:r w:rsidRPr="00486AD3">
        <w:rPr>
          <w:rFonts w:ascii="Times New Roman" w:hAnsi="Times New Roman" w:cs="Times New Roman"/>
          <w:b/>
          <w:bCs/>
          <w:i/>
          <w:iCs/>
          <w:sz w:val="24"/>
          <w:szCs w:val="24"/>
        </w:rPr>
        <w:t xml:space="preserve"> -функция в абелевых и неабелевых N = 1 суперсимметричных калибровочных моделях и ее </w:t>
      </w:r>
      <w:r w:rsidRPr="00486AD3">
        <w:rPr>
          <w:rFonts w:ascii="Times New Roman" w:hAnsi="Times New Roman" w:cs="Times New Roman"/>
          <w:b/>
          <w:bCs/>
          <w:i/>
          <w:iCs/>
          <w:sz w:val="24"/>
          <w:szCs w:val="24"/>
        </w:rPr>
        <w:t>аналогия</w:t>
      </w:r>
      <w:r w:rsidR="009961D7" w:rsidRPr="00486AD3">
        <w:rPr>
          <w:rFonts w:ascii="Times New Roman" w:hAnsi="Times New Roman" w:cs="Times New Roman"/>
          <w:b/>
          <w:bCs/>
          <w:i/>
          <w:iCs/>
          <w:sz w:val="24"/>
          <w:szCs w:val="24"/>
        </w:rPr>
        <w:t xml:space="preserve"> </w:t>
      </w:r>
      <w:proofErr w:type="gramStart"/>
      <w:r w:rsidR="009961D7" w:rsidRPr="00486AD3">
        <w:rPr>
          <w:rFonts w:ascii="Times New Roman" w:hAnsi="Times New Roman" w:cs="Times New Roman"/>
          <w:b/>
          <w:bCs/>
          <w:i/>
          <w:iCs/>
          <w:sz w:val="24"/>
          <w:szCs w:val="24"/>
        </w:rPr>
        <w:t>с</w:t>
      </w:r>
      <w:r w:rsidRPr="00486AD3">
        <w:rPr>
          <w:rFonts w:ascii="Times New Roman" w:hAnsi="Times New Roman" w:cs="Times New Roman"/>
          <w:b/>
          <w:bCs/>
          <w:i/>
          <w:iCs/>
          <w:sz w:val="24"/>
          <w:szCs w:val="24"/>
        </w:rPr>
        <w:t xml:space="preserve"> бета</w:t>
      </w:r>
      <w:proofErr w:type="gramEnd"/>
      <w:r w:rsidRPr="00486AD3">
        <w:rPr>
          <w:rFonts w:ascii="Times New Roman" w:hAnsi="Times New Roman" w:cs="Times New Roman"/>
          <w:b/>
          <w:bCs/>
          <w:i/>
          <w:iCs/>
          <w:sz w:val="24"/>
          <w:szCs w:val="24"/>
        </w:rPr>
        <w:t xml:space="preserve"> -</w:t>
      </w:r>
      <w:r w:rsidR="009961D7" w:rsidRPr="00486AD3">
        <w:rPr>
          <w:rFonts w:ascii="Times New Roman" w:hAnsi="Times New Roman" w:cs="Times New Roman"/>
          <w:b/>
          <w:bCs/>
          <w:i/>
          <w:iCs/>
          <w:sz w:val="24"/>
          <w:szCs w:val="24"/>
        </w:rPr>
        <w:t xml:space="preserve"> </w:t>
      </w:r>
      <w:r w:rsidRPr="00486AD3">
        <w:rPr>
          <w:rFonts w:ascii="Times New Roman" w:hAnsi="Times New Roman" w:cs="Times New Roman"/>
          <w:b/>
          <w:bCs/>
          <w:i/>
          <w:iCs/>
          <w:sz w:val="24"/>
          <w:szCs w:val="24"/>
        </w:rPr>
        <w:t>функцией КХД в C-схеме</w:t>
      </w:r>
      <w:r w:rsidRPr="00486AD3">
        <w:rPr>
          <w:rFonts w:ascii="Times New Roman" w:hAnsi="Times New Roman" w:cs="Times New Roman"/>
          <w:b/>
          <w:bCs/>
          <w:i/>
          <w:iCs/>
          <w:sz w:val="24"/>
          <w:szCs w:val="24"/>
        </w:rPr>
        <w:t>.</w:t>
      </w:r>
    </w:p>
    <w:p w14:paraId="2EE19BF1" w14:textId="77777777" w:rsidR="00282224" w:rsidRPr="00282224" w:rsidRDefault="00282224" w:rsidP="00282224">
      <w:pPr>
        <w:autoSpaceDE w:val="0"/>
        <w:autoSpaceDN w:val="0"/>
        <w:adjustRightInd w:val="0"/>
        <w:spacing w:after="0" w:line="240" w:lineRule="auto"/>
        <w:ind w:firstLine="567"/>
        <w:jc w:val="both"/>
        <w:rPr>
          <w:rFonts w:ascii="Times New Roman" w:hAnsi="Times New Roman" w:cs="Times New Roman"/>
          <w:sz w:val="24"/>
          <w:szCs w:val="24"/>
        </w:rPr>
      </w:pPr>
    </w:p>
    <w:p w14:paraId="49AAB768" w14:textId="466A5ED2" w:rsidR="00282224" w:rsidRPr="00282224" w:rsidRDefault="00282224" w:rsidP="00282224">
      <w:pPr>
        <w:autoSpaceDE w:val="0"/>
        <w:autoSpaceDN w:val="0"/>
        <w:adjustRightInd w:val="0"/>
        <w:spacing w:after="0" w:line="240" w:lineRule="auto"/>
        <w:ind w:firstLine="567"/>
        <w:jc w:val="both"/>
        <w:rPr>
          <w:rFonts w:ascii="Times New Roman" w:hAnsi="Times New Roman" w:cs="Times New Roman"/>
          <w:sz w:val="24"/>
          <w:szCs w:val="24"/>
        </w:rPr>
      </w:pPr>
      <w:r w:rsidRPr="00282224">
        <w:rPr>
          <w:rFonts w:ascii="Times New Roman" w:hAnsi="Times New Roman" w:cs="Times New Roman"/>
          <w:sz w:val="24"/>
          <w:szCs w:val="24"/>
        </w:rPr>
        <w:t xml:space="preserve">В N = 1 суперсимметричной  (СУСИ) теории Янга–Миллса без материи  впервые продемонстрировано существование  специального  класса схем перенормировок, при которых для  характеризующей изменение заряда с увеличением энергий ренормгрупповой  бета функции во всех порядках теории возмущений справедливо выражение,  имеющее вид геометрической прогрессии. Это выражение   впервые было постулировано в 1983 г известным ученым из Великобритании Д.Р.Т. Джонсов  исходя из требования  выполнения в неабелевых СУСИ теориях  следующей из сохранения СУСИ самосогласованной связи  для аксиальной и конформной аномалий.   Показано, что конкретные </w:t>
      </w:r>
      <w:r w:rsidRPr="00282224">
        <w:rPr>
          <w:rFonts w:ascii="Times New Roman" w:hAnsi="Times New Roman" w:cs="Times New Roman"/>
          <w:sz w:val="24"/>
          <w:szCs w:val="24"/>
        </w:rPr>
        <w:t>представители класса</w:t>
      </w:r>
      <w:r w:rsidRPr="00282224">
        <w:rPr>
          <w:rFonts w:ascii="Times New Roman" w:hAnsi="Times New Roman" w:cs="Times New Roman"/>
          <w:sz w:val="24"/>
          <w:szCs w:val="24"/>
        </w:rPr>
        <w:t xml:space="preserve"> схем </w:t>
      </w:r>
      <w:r w:rsidRPr="00282224">
        <w:rPr>
          <w:rFonts w:ascii="Times New Roman" w:hAnsi="Times New Roman" w:cs="Times New Roman"/>
          <w:sz w:val="24"/>
          <w:szCs w:val="24"/>
        </w:rPr>
        <w:t>перенормировок,</w:t>
      </w:r>
      <w:r w:rsidRPr="00282224">
        <w:rPr>
          <w:rFonts w:ascii="Times New Roman" w:hAnsi="Times New Roman" w:cs="Times New Roman"/>
          <w:sz w:val="24"/>
          <w:szCs w:val="24"/>
        </w:rPr>
        <w:t xml:space="preserve"> в которой данное свойство </w:t>
      </w:r>
      <w:r w:rsidRPr="00282224">
        <w:rPr>
          <w:rFonts w:ascii="Times New Roman" w:hAnsi="Times New Roman" w:cs="Times New Roman"/>
          <w:sz w:val="24"/>
          <w:szCs w:val="24"/>
        </w:rPr>
        <w:t>выполняется, образуют однопараметрическую</w:t>
      </w:r>
      <w:r w:rsidRPr="00282224">
        <w:rPr>
          <w:rFonts w:ascii="Times New Roman" w:hAnsi="Times New Roman" w:cs="Times New Roman"/>
          <w:sz w:val="24"/>
          <w:szCs w:val="24"/>
        </w:rPr>
        <w:t xml:space="preserve"> коммутативную подгруппу общих ренормгрупповых преобразований. Продемонстрирована аналогия между  бета-функцией  N = 1 СУСИ  теории Янга–Миллса без материи в изучаемом  в работе  классе процедур  конечных перенормировок  и бета-функцией КХД в  широко использующейся в последние годы в теоретических и феноменологических исследованиях  специальной  C-схеме, выражающейся во всех порядках теории возмущений через комбинацию явно вычисленных ранее одно и двух-петлевых вкладов в эту фундаментальну</w:t>
      </w:r>
      <w:r>
        <w:rPr>
          <w:rFonts w:ascii="Times New Roman" w:hAnsi="Times New Roman" w:cs="Times New Roman"/>
          <w:sz w:val="24"/>
          <w:szCs w:val="24"/>
        </w:rPr>
        <w:t>ю</w:t>
      </w:r>
      <w:r w:rsidRPr="00282224">
        <w:rPr>
          <w:rFonts w:ascii="Times New Roman" w:hAnsi="Times New Roman" w:cs="Times New Roman"/>
          <w:sz w:val="24"/>
          <w:szCs w:val="24"/>
        </w:rPr>
        <w:t xml:space="preserve"> ренормгруп</w:t>
      </w:r>
      <w:r>
        <w:rPr>
          <w:rFonts w:ascii="Times New Roman" w:hAnsi="Times New Roman" w:cs="Times New Roman"/>
          <w:sz w:val="24"/>
          <w:szCs w:val="24"/>
        </w:rPr>
        <w:t>п</w:t>
      </w:r>
      <w:r w:rsidRPr="00282224">
        <w:rPr>
          <w:rFonts w:ascii="Times New Roman" w:hAnsi="Times New Roman" w:cs="Times New Roman"/>
          <w:sz w:val="24"/>
          <w:szCs w:val="24"/>
        </w:rPr>
        <w:t xml:space="preserve">овую функцию КХД.  Таким образом продемонстрировано, что изучение  строгих принципов ненарушенной СУСИ, которые должны выполняться  в до сих пор неподтвержденной экспериментальными методами конкретной теоретической модели, позволяют детальнее понять структуру членов разложения по малой константе связи ( т. е. конкретного ряда  теории возмущений) в  реализуемой в природе  современной теории  сильных взаимодействий – квантовой хромодинамике. </w:t>
      </w:r>
    </w:p>
    <w:p w14:paraId="354AE035" w14:textId="77777777" w:rsidR="00282224" w:rsidRPr="00282224" w:rsidRDefault="00282224" w:rsidP="00282224">
      <w:pPr>
        <w:autoSpaceDE w:val="0"/>
        <w:autoSpaceDN w:val="0"/>
        <w:adjustRightInd w:val="0"/>
        <w:spacing w:after="0" w:line="240" w:lineRule="auto"/>
        <w:ind w:firstLine="567"/>
        <w:jc w:val="both"/>
        <w:rPr>
          <w:rFonts w:ascii="Times New Roman" w:hAnsi="Times New Roman" w:cs="Times New Roman"/>
          <w:sz w:val="24"/>
          <w:szCs w:val="24"/>
        </w:rPr>
      </w:pPr>
    </w:p>
    <w:p w14:paraId="70AAF913" w14:textId="77777777" w:rsidR="00282224" w:rsidRDefault="00282224" w:rsidP="00282224">
      <w:pPr>
        <w:autoSpaceDE w:val="0"/>
        <w:autoSpaceDN w:val="0"/>
        <w:adjustRightInd w:val="0"/>
        <w:spacing w:after="0" w:line="240" w:lineRule="auto"/>
        <w:ind w:firstLine="567"/>
        <w:jc w:val="both"/>
        <w:rPr>
          <w:rFonts w:ascii="Times New Roman" w:hAnsi="Times New Roman" w:cs="Times New Roman"/>
          <w:sz w:val="24"/>
          <w:szCs w:val="24"/>
        </w:rPr>
      </w:pPr>
      <w:r w:rsidRPr="00282224">
        <w:rPr>
          <w:rFonts w:ascii="Times New Roman" w:hAnsi="Times New Roman" w:cs="Times New Roman"/>
          <w:sz w:val="24"/>
          <w:szCs w:val="24"/>
        </w:rPr>
        <w:t xml:space="preserve">Публикация: </w:t>
      </w:r>
    </w:p>
    <w:p w14:paraId="7E2B3D0F" w14:textId="487EE4B5" w:rsidR="00282224" w:rsidRPr="00282224" w:rsidRDefault="00282224" w:rsidP="00282224">
      <w:pPr>
        <w:autoSpaceDE w:val="0"/>
        <w:autoSpaceDN w:val="0"/>
        <w:adjustRightInd w:val="0"/>
        <w:spacing w:after="0" w:line="240" w:lineRule="auto"/>
        <w:ind w:firstLine="567"/>
        <w:jc w:val="both"/>
        <w:rPr>
          <w:rFonts w:ascii="Times New Roman" w:hAnsi="Times New Roman" w:cs="Times New Roman"/>
          <w:sz w:val="24"/>
          <w:szCs w:val="24"/>
        </w:rPr>
      </w:pPr>
      <w:r w:rsidRPr="00282224">
        <w:rPr>
          <w:rFonts w:ascii="Times New Roman" w:hAnsi="Times New Roman" w:cs="Times New Roman"/>
          <w:sz w:val="24"/>
          <w:szCs w:val="24"/>
        </w:rPr>
        <w:t xml:space="preserve">И.О. </w:t>
      </w:r>
      <w:proofErr w:type="spellStart"/>
      <w:r w:rsidRPr="00282224">
        <w:rPr>
          <w:rFonts w:ascii="Times New Roman" w:hAnsi="Times New Roman" w:cs="Times New Roman"/>
          <w:sz w:val="24"/>
          <w:szCs w:val="24"/>
        </w:rPr>
        <w:t>Горячук</w:t>
      </w:r>
      <w:proofErr w:type="spellEnd"/>
      <w:r>
        <w:rPr>
          <w:rFonts w:ascii="Times New Roman" w:hAnsi="Times New Roman" w:cs="Times New Roman"/>
          <w:sz w:val="24"/>
          <w:szCs w:val="24"/>
        </w:rPr>
        <w:t xml:space="preserve">, </w:t>
      </w:r>
      <w:r w:rsidRPr="00282224">
        <w:rPr>
          <w:rFonts w:ascii="Times New Roman" w:hAnsi="Times New Roman" w:cs="Times New Roman"/>
          <w:sz w:val="24"/>
          <w:szCs w:val="24"/>
        </w:rPr>
        <w:t>А.Л. Катаев</w:t>
      </w:r>
      <w:r>
        <w:rPr>
          <w:rFonts w:ascii="Times New Roman" w:hAnsi="Times New Roman" w:cs="Times New Roman"/>
          <w:sz w:val="24"/>
          <w:szCs w:val="24"/>
        </w:rPr>
        <w:t xml:space="preserve">. </w:t>
      </w:r>
      <w:r w:rsidRPr="00282224">
        <w:rPr>
          <w:rFonts w:ascii="Times New Roman" w:hAnsi="Times New Roman" w:cs="Times New Roman"/>
          <w:sz w:val="24"/>
          <w:szCs w:val="24"/>
        </w:rPr>
        <w:t xml:space="preserve"> Письма в ЖЭТФ, том 111, N12, cтр. 789-793 (2020) </w:t>
      </w:r>
    </w:p>
    <w:p w14:paraId="3297C7AE" w14:textId="77777777" w:rsidR="006C5938" w:rsidRPr="006C5938" w:rsidRDefault="006C5938">
      <w:pPr>
        <w:rPr>
          <w:rFonts w:ascii="Times New Roman" w:hAnsi="Times New Roman" w:cs="Times New Roman"/>
          <w:sz w:val="24"/>
          <w:szCs w:val="24"/>
        </w:rPr>
      </w:pPr>
    </w:p>
    <w:sectPr w:rsidR="006C5938" w:rsidRPr="006C593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8B063F"/>
    <w:multiLevelType w:val="hybridMultilevel"/>
    <w:tmpl w:val="0A28F8BE"/>
    <w:lvl w:ilvl="0" w:tplc="E9E8ECDA">
      <w:start w:val="1"/>
      <w:numFmt w:val="decimal"/>
      <w:lvlText w:val="(%1)"/>
      <w:lvlJc w:val="left"/>
      <w:pPr>
        <w:tabs>
          <w:tab w:val="num" w:pos="720"/>
        </w:tabs>
        <w:ind w:left="720" w:hanging="360"/>
      </w:pPr>
      <w:rPr>
        <w:rFonts w:hint="default"/>
        <w:sz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4F8"/>
    <w:rsid w:val="00087CE4"/>
    <w:rsid w:val="00282224"/>
    <w:rsid w:val="002A5270"/>
    <w:rsid w:val="002D2A6D"/>
    <w:rsid w:val="003E54F8"/>
    <w:rsid w:val="00486AD3"/>
    <w:rsid w:val="005D0C02"/>
    <w:rsid w:val="00662263"/>
    <w:rsid w:val="006C5938"/>
    <w:rsid w:val="006F45DA"/>
    <w:rsid w:val="00794407"/>
    <w:rsid w:val="00982E37"/>
    <w:rsid w:val="009961D7"/>
    <w:rsid w:val="00CA0E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163CB"/>
  <w15:chartTrackingRefBased/>
  <w15:docId w15:val="{334D2E38-C57C-4EBB-AE34-8BD79F958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E54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uiPriority w:val="22"/>
    <w:qFormat/>
    <w:rsid w:val="006F45DA"/>
    <w:rPr>
      <w:b/>
      <w:bCs/>
    </w:rPr>
  </w:style>
  <w:style w:type="paragraph" w:styleId="a5">
    <w:name w:val="No Spacing"/>
    <w:uiPriority w:val="1"/>
    <w:qFormat/>
    <w:rsid w:val="00982E37"/>
    <w:pPr>
      <w:spacing w:after="0" w:line="240" w:lineRule="auto"/>
    </w:pPr>
    <w:rPr>
      <w:rFonts w:cs="Times New Roman"/>
      <w:sz w:val="24"/>
    </w:rPr>
  </w:style>
  <w:style w:type="paragraph" w:styleId="a6">
    <w:name w:val="List Paragraph"/>
    <w:basedOn w:val="a"/>
    <w:uiPriority w:val="34"/>
    <w:qFormat/>
    <w:rsid w:val="00982E37"/>
    <w:pPr>
      <w:spacing w:line="254" w:lineRule="auto"/>
      <w:ind w:left="720"/>
      <w:contextualSpacing/>
    </w:pPr>
    <w:rPr>
      <w:rFonts w:ascii="Calibri" w:eastAsia="Calibri" w:hAnsi="Calibri" w:cs="Times New Roman"/>
    </w:rPr>
  </w:style>
  <w:style w:type="paragraph" w:customStyle="1" w:styleId="BodytextIndented">
    <w:name w:val="BodytextIndented"/>
    <w:basedOn w:val="a"/>
    <w:rsid w:val="006C5938"/>
    <w:pPr>
      <w:spacing w:after="0" w:line="240" w:lineRule="auto"/>
      <w:ind w:firstLine="284"/>
      <w:jc w:val="both"/>
    </w:pPr>
    <w:rPr>
      <w:rFonts w:ascii="Times" w:eastAsia="Times New Roman" w:hAnsi="Times" w:cs="Times New Roman"/>
      <w:sz w:val="20"/>
      <w:szCs w:val="20"/>
      <w:lang w:val="en-US"/>
    </w:rPr>
  </w:style>
  <w:style w:type="character" w:styleId="a7">
    <w:name w:val="Hyperlink"/>
    <w:basedOn w:val="a0"/>
    <w:uiPriority w:val="99"/>
    <w:semiHidden/>
    <w:unhideWhenUsed/>
    <w:rsid w:val="006622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3847/1538-4357/ab86bd" TargetMode="External"/><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6</Pages>
  <Words>1579</Words>
  <Characters>9006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2020-07-03T09:39:00Z</dcterms:created>
  <dcterms:modified xsi:type="dcterms:W3CDTF">2020-07-06T13:54:00Z</dcterms:modified>
</cp:coreProperties>
</file>